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C5FD5" w14:textId="4376F35E" w:rsidR="009A64D7" w:rsidRDefault="00526809" w:rsidP="008E2A80">
      <w:pPr>
        <w:pStyle w:val="Titolo1"/>
        <w:spacing w:before="60" w:after="60"/>
        <w:jc w:val="both"/>
        <w:rPr>
          <w:rFonts w:asciiTheme="minorHAnsi" w:hAnsiTheme="minorHAnsi" w:cstheme="minorHAnsi"/>
          <w:b/>
          <w:sz w:val="40"/>
          <w:lang w:val="en-GB"/>
        </w:rPr>
      </w:pPr>
      <w:r w:rsidRPr="00440567">
        <w:rPr>
          <w:rFonts w:asciiTheme="minorHAnsi" w:hAnsiTheme="minorHAnsi" w:cstheme="minorHAnsi"/>
          <w:b/>
          <w:sz w:val="40"/>
          <w:lang w:val="en-GB"/>
        </w:rPr>
        <w:t>Country report: Italy</w:t>
      </w:r>
    </w:p>
    <w:p w14:paraId="45634466" w14:textId="3F86394E" w:rsidR="00496C0C" w:rsidRPr="00F0062A" w:rsidRDefault="008770F0" w:rsidP="00F0062A">
      <w:pPr>
        <w:rPr>
          <w:lang w:val="en-GB"/>
        </w:rPr>
      </w:pPr>
      <w:r>
        <w:rPr>
          <w:lang w:val="en-GB"/>
        </w:rPr>
        <w:t>(working draft 16</w:t>
      </w:r>
      <w:r w:rsidR="00496C0C" w:rsidRPr="00F0062A">
        <w:rPr>
          <w:lang w:val="en-GB"/>
        </w:rPr>
        <w:t>.8.2019)</w:t>
      </w:r>
    </w:p>
    <w:p w14:paraId="5F25399B" w14:textId="77777777" w:rsidR="00526809" w:rsidRPr="00440567" w:rsidRDefault="00526809" w:rsidP="008E2A80">
      <w:pPr>
        <w:spacing w:before="60" w:after="60"/>
        <w:jc w:val="both"/>
        <w:rPr>
          <w:rFonts w:cstheme="minorHAnsi"/>
          <w:lang w:val="en-GB"/>
        </w:rPr>
      </w:pPr>
    </w:p>
    <w:p w14:paraId="321FD73C" w14:textId="77777777" w:rsidR="00526809" w:rsidRPr="00F0062A" w:rsidRDefault="00526809" w:rsidP="008E2A80">
      <w:pPr>
        <w:pStyle w:val="Titolo2"/>
        <w:spacing w:before="60" w:after="60"/>
        <w:jc w:val="both"/>
        <w:rPr>
          <w:rFonts w:asciiTheme="minorHAnsi" w:hAnsiTheme="minorHAnsi" w:cstheme="minorHAnsi"/>
          <w:b/>
          <w:lang w:val="en-GB"/>
        </w:rPr>
      </w:pPr>
      <w:r w:rsidRPr="00F0062A">
        <w:rPr>
          <w:rFonts w:asciiTheme="minorHAnsi" w:hAnsiTheme="minorHAnsi" w:cstheme="minorHAnsi"/>
          <w:b/>
          <w:lang w:val="en-GB"/>
        </w:rPr>
        <w:t>1. Introduction</w:t>
      </w:r>
    </w:p>
    <w:p w14:paraId="77108596" w14:textId="77777777" w:rsidR="004677B6" w:rsidRPr="00440567" w:rsidRDefault="00526809" w:rsidP="008E2A80">
      <w:pPr>
        <w:spacing w:before="60" w:after="60" w:line="240" w:lineRule="auto"/>
        <w:jc w:val="both"/>
        <w:rPr>
          <w:rFonts w:cstheme="minorHAnsi"/>
          <w:color w:val="000000"/>
          <w:lang w:val="en-GB"/>
        </w:rPr>
      </w:pPr>
      <w:r w:rsidRPr="00440567">
        <w:rPr>
          <w:rFonts w:cstheme="minorHAnsi"/>
          <w:color w:val="000000"/>
          <w:lang w:val="en-GB"/>
        </w:rPr>
        <w:t xml:space="preserve">The following pages illustrate the main characteristics of the Italian food distribution sector, highlighting the most significant changes that have occurred over the past 20 years. Using scientific and grey literature, as well as secondary data analysis, the aim is to depict the status quo of the Italian food economy, with particular attention to the appearance of digital platforms for the distribution of food in the Italian context. </w:t>
      </w:r>
    </w:p>
    <w:p w14:paraId="755A4D27" w14:textId="293783B9" w:rsidR="00526809" w:rsidRPr="00440567" w:rsidRDefault="00526809" w:rsidP="008E2A80">
      <w:pPr>
        <w:spacing w:before="60" w:after="60" w:line="240" w:lineRule="auto"/>
        <w:jc w:val="both"/>
        <w:rPr>
          <w:rFonts w:cstheme="minorHAnsi"/>
          <w:color w:val="000000"/>
          <w:lang w:val="en-GB"/>
        </w:rPr>
      </w:pPr>
      <w:r w:rsidRPr="00440567">
        <w:rPr>
          <w:rFonts w:cstheme="minorHAnsi"/>
          <w:color w:val="000000"/>
          <w:lang w:val="en-GB"/>
        </w:rPr>
        <w:t xml:space="preserve">First, the report outlines and classifies the key players in the distribution sector, </w:t>
      </w:r>
      <w:r w:rsidR="00BE5D43">
        <w:rPr>
          <w:rFonts w:cstheme="minorHAnsi"/>
          <w:color w:val="000000"/>
          <w:lang w:val="en-GB"/>
        </w:rPr>
        <w:t>distinguishing</w:t>
      </w:r>
      <w:r w:rsidRPr="00440567">
        <w:rPr>
          <w:rFonts w:cstheme="minorHAnsi"/>
          <w:color w:val="000000"/>
          <w:lang w:val="en-GB"/>
        </w:rPr>
        <w:t xml:space="preserve"> the role of the mass retail channel</w:t>
      </w:r>
      <w:r w:rsidR="00B629B0" w:rsidRPr="00440567">
        <w:rPr>
          <w:rFonts w:cstheme="minorHAnsi"/>
          <w:color w:val="000000"/>
          <w:lang w:val="en-GB"/>
        </w:rPr>
        <w:t xml:space="preserve"> (GDO) and traditional shops (CDS)</w:t>
      </w:r>
      <w:r w:rsidRPr="00440567">
        <w:rPr>
          <w:rFonts w:cstheme="minorHAnsi"/>
          <w:color w:val="000000"/>
          <w:lang w:val="en-GB"/>
        </w:rPr>
        <w:t xml:space="preserve"> with that of the alternative food networks.</w:t>
      </w:r>
    </w:p>
    <w:p w14:paraId="244EBF77" w14:textId="54C02DAF" w:rsidR="00526809" w:rsidRPr="00440567" w:rsidRDefault="00526809" w:rsidP="008E2A80">
      <w:pPr>
        <w:pStyle w:val="NormaleWeb"/>
        <w:spacing w:before="60" w:beforeAutospacing="0" w:after="60" w:afterAutospacing="0"/>
        <w:jc w:val="both"/>
        <w:rPr>
          <w:rFonts w:asciiTheme="minorHAnsi" w:hAnsiTheme="minorHAnsi" w:cstheme="minorHAnsi"/>
          <w:color w:val="000000"/>
          <w:sz w:val="22"/>
          <w:szCs w:val="22"/>
          <w:lang w:val="en-GB"/>
        </w:rPr>
      </w:pPr>
      <w:r w:rsidRPr="00440567">
        <w:rPr>
          <w:rFonts w:asciiTheme="minorHAnsi" w:hAnsiTheme="minorHAnsi" w:cstheme="minorHAnsi"/>
          <w:color w:val="000000"/>
          <w:sz w:val="22"/>
          <w:szCs w:val="22"/>
          <w:lang w:val="en-GB"/>
        </w:rPr>
        <w:t>Second, the focus shifts to the consumer side, in order to throw light on the most recent evolution in food consumption patterns: crucially, this section makes use of secondary data analysis to put emphasis on the social stratification of purchasing and consumption</w:t>
      </w:r>
      <w:r w:rsidR="00BE5D43">
        <w:rPr>
          <w:rFonts w:asciiTheme="minorHAnsi" w:hAnsiTheme="minorHAnsi" w:cstheme="minorHAnsi"/>
          <w:color w:val="000000"/>
          <w:sz w:val="22"/>
          <w:szCs w:val="22"/>
          <w:lang w:val="en-GB"/>
        </w:rPr>
        <w:t xml:space="preserve"> preferences. </w:t>
      </w:r>
    </w:p>
    <w:p w14:paraId="7C13FA17" w14:textId="7F286845" w:rsidR="00526809" w:rsidRDefault="00526809" w:rsidP="008E2A80">
      <w:pPr>
        <w:pStyle w:val="NormaleWeb"/>
        <w:spacing w:before="60" w:beforeAutospacing="0" w:after="60" w:afterAutospacing="0"/>
        <w:jc w:val="both"/>
        <w:rPr>
          <w:rFonts w:asciiTheme="minorHAnsi" w:hAnsiTheme="minorHAnsi" w:cstheme="minorHAnsi"/>
          <w:color w:val="000000"/>
          <w:sz w:val="22"/>
          <w:szCs w:val="22"/>
          <w:lang w:val="en-GB"/>
        </w:rPr>
      </w:pPr>
      <w:r w:rsidRPr="00440567">
        <w:rPr>
          <w:rFonts w:asciiTheme="minorHAnsi" w:hAnsiTheme="minorHAnsi" w:cstheme="minorHAnsi"/>
          <w:color w:val="000000"/>
          <w:sz w:val="22"/>
          <w:szCs w:val="22"/>
          <w:lang w:val="en-GB"/>
        </w:rPr>
        <w:t>Third, it concentrates on digital food platforms illustrating some key examples that could be of use for feeding next WPs.</w:t>
      </w:r>
    </w:p>
    <w:p w14:paraId="4C351DD8" w14:textId="77777777" w:rsidR="00496C0C" w:rsidRPr="00440567" w:rsidRDefault="00496C0C" w:rsidP="008E2A80">
      <w:pPr>
        <w:pStyle w:val="NormaleWeb"/>
        <w:spacing w:before="60" w:beforeAutospacing="0" w:after="60" w:afterAutospacing="0"/>
        <w:jc w:val="both"/>
        <w:rPr>
          <w:rFonts w:asciiTheme="minorHAnsi" w:hAnsiTheme="minorHAnsi" w:cstheme="minorHAnsi"/>
          <w:lang w:val="en-GB"/>
        </w:rPr>
      </w:pPr>
    </w:p>
    <w:p w14:paraId="256E3799" w14:textId="77777777" w:rsidR="00526809" w:rsidRPr="00F0062A" w:rsidRDefault="00526809" w:rsidP="008E2A80">
      <w:pPr>
        <w:pStyle w:val="Titolo2"/>
        <w:spacing w:before="60" w:after="60"/>
        <w:jc w:val="both"/>
        <w:rPr>
          <w:rFonts w:asciiTheme="minorHAnsi" w:hAnsiTheme="minorHAnsi" w:cstheme="minorHAnsi"/>
          <w:b/>
          <w:lang w:val="en-GB"/>
        </w:rPr>
      </w:pPr>
      <w:r w:rsidRPr="00F0062A">
        <w:rPr>
          <w:rFonts w:asciiTheme="minorHAnsi" w:hAnsiTheme="minorHAnsi" w:cstheme="minorHAnsi"/>
          <w:b/>
          <w:lang w:val="en-GB"/>
        </w:rPr>
        <w:t>2. The food distribution sector: the supply side</w:t>
      </w:r>
    </w:p>
    <w:p w14:paraId="360C6445" w14:textId="19A26926" w:rsidR="00DB0145" w:rsidRDefault="00485935" w:rsidP="008E2A80">
      <w:pPr>
        <w:spacing w:before="60" w:after="60"/>
        <w:jc w:val="both"/>
        <w:rPr>
          <w:rFonts w:cstheme="minorHAnsi"/>
          <w:lang w:val="en-GB"/>
        </w:rPr>
      </w:pPr>
      <w:r>
        <w:rPr>
          <w:rFonts w:cstheme="minorHAnsi"/>
          <w:lang w:val="en-GB"/>
        </w:rPr>
        <w:t>T</w:t>
      </w:r>
      <w:r w:rsidR="00496C0C">
        <w:rPr>
          <w:rFonts w:cstheme="minorHAnsi"/>
          <w:lang w:val="en-GB"/>
        </w:rPr>
        <w:t>he characteristics of the</w:t>
      </w:r>
      <w:r w:rsidR="008677DF" w:rsidRPr="00440567">
        <w:rPr>
          <w:rFonts w:cstheme="minorHAnsi"/>
          <w:lang w:val="en-GB"/>
        </w:rPr>
        <w:t xml:space="preserve"> Italian food distribution secto</w:t>
      </w:r>
      <w:r w:rsidR="00A74B40" w:rsidRPr="00440567">
        <w:rPr>
          <w:rFonts w:cstheme="minorHAnsi"/>
          <w:lang w:val="en-GB"/>
        </w:rPr>
        <w:t xml:space="preserve">r </w:t>
      </w:r>
      <w:r w:rsidRPr="00440567">
        <w:rPr>
          <w:rFonts w:cstheme="minorHAnsi"/>
          <w:lang w:val="en-GB"/>
        </w:rPr>
        <w:t>ha</w:t>
      </w:r>
      <w:r>
        <w:rPr>
          <w:rFonts w:cstheme="minorHAnsi"/>
          <w:lang w:val="en-GB"/>
        </w:rPr>
        <w:t>ve</w:t>
      </w:r>
      <w:r w:rsidRPr="00440567">
        <w:rPr>
          <w:rFonts w:cstheme="minorHAnsi"/>
          <w:lang w:val="en-GB"/>
        </w:rPr>
        <w:t xml:space="preserve"> </w:t>
      </w:r>
      <w:r w:rsidR="00A74B40" w:rsidRPr="00440567">
        <w:rPr>
          <w:rFonts w:cstheme="minorHAnsi"/>
          <w:lang w:val="en-GB"/>
        </w:rPr>
        <w:t xml:space="preserve">been influenced by </w:t>
      </w:r>
      <w:r w:rsidR="00496C0C">
        <w:rPr>
          <w:rFonts w:cstheme="minorHAnsi"/>
          <w:lang w:val="en-GB"/>
        </w:rPr>
        <w:t>several factors among which the presence of a</w:t>
      </w:r>
      <w:r w:rsidR="00A74B40" w:rsidRPr="00440567">
        <w:rPr>
          <w:rFonts w:cstheme="minorHAnsi"/>
          <w:lang w:val="en-GB"/>
        </w:rPr>
        <w:t xml:space="preserve"> restrictive regulation that before 1998 </w:t>
      </w:r>
      <w:r w:rsidR="00496C0C">
        <w:rPr>
          <w:rFonts w:cstheme="minorHAnsi"/>
          <w:lang w:val="en-GB"/>
        </w:rPr>
        <w:t>appear</w:t>
      </w:r>
      <w:r w:rsidR="00DB0145">
        <w:rPr>
          <w:rFonts w:cstheme="minorHAnsi"/>
          <w:lang w:val="en-GB"/>
        </w:rPr>
        <w:t>s</w:t>
      </w:r>
      <w:r w:rsidR="00496C0C">
        <w:rPr>
          <w:rFonts w:cstheme="minorHAnsi"/>
          <w:lang w:val="en-GB"/>
        </w:rPr>
        <w:t xml:space="preserve"> to have </w:t>
      </w:r>
      <w:r w:rsidR="00A74B40" w:rsidRPr="00440567">
        <w:rPr>
          <w:rFonts w:cstheme="minorHAnsi"/>
          <w:lang w:val="en-GB"/>
        </w:rPr>
        <w:t>hindered the growth and establishment of the mass-retail channel</w:t>
      </w:r>
      <w:r w:rsidR="00DB0145">
        <w:rPr>
          <w:rFonts w:cstheme="minorHAnsi"/>
          <w:lang w:val="en-GB"/>
        </w:rPr>
        <w:t xml:space="preserve"> (</w:t>
      </w:r>
      <w:r>
        <w:rPr>
          <w:rFonts w:cstheme="minorHAnsi"/>
          <w:lang w:val="en-GB"/>
        </w:rPr>
        <w:t>Pellegrini &amp; Zanderighi, 2013</w:t>
      </w:r>
      <w:r w:rsidR="00DB0145">
        <w:rPr>
          <w:rFonts w:cstheme="minorHAnsi"/>
          <w:lang w:val="en-GB"/>
        </w:rPr>
        <w:t>)</w:t>
      </w:r>
      <w:r w:rsidR="00A74B40" w:rsidRPr="00440567">
        <w:rPr>
          <w:rFonts w:cstheme="minorHAnsi"/>
          <w:lang w:val="en-GB"/>
        </w:rPr>
        <w:t>. The Bersani reform</w:t>
      </w:r>
      <w:r w:rsidR="00DB0145">
        <w:rPr>
          <w:rFonts w:cstheme="minorHAnsi"/>
          <w:lang w:val="en-GB"/>
        </w:rPr>
        <w:t xml:space="preserve"> passed</w:t>
      </w:r>
      <w:r w:rsidR="00A74B40" w:rsidRPr="00440567">
        <w:rPr>
          <w:rFonts w:cstheme="minorHAnsi"/>
          <w:lang w:val="en-GB"/>
        </w:rPr>
        <w:t xml:space="preserve"> in 1998</w:t>
      </w:r>
      <w:r w:rsidR="00B314DA">
        <w:rPr>
          <w:rFonts w:cstheme="minorHAnsi"/>
          <w:lang w:val="en-GB"/>
        </w:rPr>
        <w:t xml:space="preserve"> which was further</w:t>
      </w:r>
      <w:r w:rsidR="00A74B40" w:rsidRPr="00440567">
        <w:rPr>
          <w:rFonts w:cstheme="minorHAnsi"/>
          <w:lang w:val="en-GB"/>
        </w:rPr>
        <w:t xml:space="preserve"> </w:t>
      </w:r>
      <w:r w:rsidR="00723C99" w:rsidRPr="00440567">
        <w:rPr>
          <w:rFonts w:cstheme="minorHAnsi"/>
          <w:lang w:val="en-GB"/>
        </w:rPr>
        <w:t>cemented</w:t>
      </w:r>
      <w:r w:rsidR="00A74B40" w:rsidRPr="00440567">
        <w:rPr>
          <w:rFonts w:cstheme="minorHAnsi"/>
          <w:lang w:val="en-GB"/>
        </w:rPr>
        <w:t xml:space="preserve"> by the “Salva Italia” and “Cresci Italia” decrees issued by the Monti Government in 2012,</w:t>
      </w:r>
      <w:r w:rsidR="00B314DA">
        <w:rPr>
          <w:rFonts w:cstheme="minorHAnsi"/>
          <w:lang w:val="en-GB"/>
        </w:rPr>
        <w:t xml:space="preserve"> by</w:t>
      </w:r>
      <w:r w:rsidR="00DB0145">
        <w:rPr>
          <w:rFonts w:cstheme="minorHAnsi"/>
          <w:lang w:val="en-GB"/>
        </w:rPr>
        <w:t xml:space="preserve"> </w:t>
      </w:r>
      <w:r w:rsidR="00723C99" w:rsidRPr="00440567">
        <w:rPr>
          <w:rFonts w:cstheme="minorHAnsi"/>
          <w:lang w:val="en-GB"/>
        </w:rPr>
        <w:t>introduc</w:t>
      </w:r>
      <w:r w:rsidR="00B314DA">
        <w:rPr>
          <w:rFonts w:cstheme="minorHAnsi"/>
          <w:lang w:val="en-GB"/>
        </w:rPr>
        <w:t>ing</w:t>
      </w:r>
      <w:r>
        <w:rPr>
          <w:rFonts w:cstheme="minorHAnsi"/>
          <w:lang w:val="en-GB"/>
        </w:rPr>
        <w:t xml:space="preserve"> </w:t>
      </w:r>
      <w:r w:rsidR="00A74B40" w:rsidRPr="00440567">
        <w:rPr>
          <w:rFonts w:cstheme="minorHAnsi"/>
          <w:lang w:val="en-GB"/>
        </w:rPr>
        <w:t>liberal</w:t>
      </w:r>
      <w:r w:rsidR="00723C99" w:rsidRPr="00440567">
        <w:rPr>
          <w:rFonts w:cstheme="minorHAnsi"/>
          <w:lang w:val="en-GB"/>
        </w:rPr>
        <w:t xml:space="preserve"> elements in the retail sector, </w:t>
      </w:r>
      <w:r w:rsidR="00B314DA">
        <w:rPr>
          <w:rFonts w:cstheme="minorHAnsi"/>
          <w:lang w:val="en-GB"/>
        </w:rPr>
        <w:t xml:space="preserve"> appears to have paved </w:t>
      </w:r>
      <w:r w:rsidR="00723C99" w:rsidRPr="00440567">
        <w:rPr>
          <w:rFonts w:cstheme="minorHAnsi"/>
          <w:lang w:val="en-GB"/>
        </w:rPr>
        <w:t>the way to the consolidation of several</w:t>
      </w:r>
      <w:r w:rsidR="00E26596" w:rsidRPr="00440567">
        <w:rPr>
          <w:rFonts w:cstheme="minorHAnsi"/>
          <w:lang w:val="en-GB"/>
        </w:rPr>
        <w:t xml:space="preserve"> key</w:t>
      </w:r>
      <w:r w:rsidR="00723C99" w:rsidRPr="00440567">
        <w:rPr>
          <w:rFonts w:cstheme="minorHAnsi"/>
          <w:lang w:val="en-GB"/>
        </w:rPr>
        <w:t xml:space="preserve"> players of the </w:t>
      </w:r>
      <w:r w:rsidR="00723C99" w:rsidRPr="00440567">
        <w:rPr>
          <w:rFonts w:cstheme="minorHAnsi"/>
          <w:b/>
          <w:i/>
          <w:lang w:val="en-GB"/>
        </w:rPr>
        <w:t>Grande Distribuzione Organizzata</w:t>
      </w:r>
      <w:r w:rsidR="00723C99" w:rsidRPr="00440567">
        <w:rPr>
          <w:rFonts w:cstheme="minorHAnsi"/>
          <w:b/>
          <w:lang w:val="en-GB"/>
        </w:rPr>
        <w:t xml:space="preserve"> (GDO)</w:t>
      </w:r>
      <w:r w:rsidR="00723C99" w:rsidRPr="00440567">
        <w:rPr>
          <w:rFonts w:cstheme="minorHAnsi"/>
          <w:lang w:val="en-GB"/>
        </w:rPr>
        <w:t>.</w:t>
      </w:r>
      <w:r w:rsidR="00E26596" w:rsidRPr="00440567">
        <w:rPr>
          <w:rFonts w:cstheme="minorHAnsi"/>
          <w:lang w:val="en-GB"/>
        </w:rPr>
        <w:t xml:space="preserve"> </w:t>
      </w:r>
    </w:p>
    <w:p w14:paraId="22142B63" w14:textId="4048E528" w:rsidR="00B314DA" w:rsidRDefault="00B314DA" w:rsidP="008E2A80">
      <w:pPr>
        <w:spacing w:before="60" w:after="60"/>
        <w:jc w:val="both"/>
        <w:rPr>
          <w:rFonts w:cstheme="minorHAnsi"/>
          <w:lang w:val="en-GB"/>
        </w:rPr>
      </w:pPr>
      <w:r>
        <w:rPr>
          <w:rFonts w:cstheme="minorHAnsi"/>
          <w:lang w:val="en-GB"/>
        </w:rPr>
        <w:t>T</w:t>
      </w:r>
      <w:r w:rsidR="00AB6C7F" w:rsidRPr="00440567">
        <w:rPr>
          <w:rFonts w:cstheme="minorHAnsi"/>
          <w:lang w:val="en-GB"/>
        </w:rPr>
        <w:t>his delay</w:t>
      </w:r>
      <w:r w:rsidR="00723C99" w:rsidRPr="00440567">
        <w:rPr>
          <w:rFonts w:cstheme="minorHAnsi"/>
          <w:lang w:val="en-GB"/>
        </w:rPr>
        <w:t xml:space="preserve">, </w:t>
      </w:r>
      <w:r>
        <w:rPr>
          <w:rFonts w:cstheme="minorHAnsi"/>
          <w:lang w:val="en-GB"/>
        </w:rPr>
        <w:t xml:space="preserve">may explain why </w:t>
      </w:r>
      <w:r w:rsidR="00723C99" w:rsidRPr="00440567">
        <w:rPr>
          <w:rFonts w:cstheme="minorHAnsi"/>
          <w:lang w:val="en-GB"/>
        </w:rPr>
        <w:t>the Italian food distribution sector</w:t>
      </w:r>
      <w:r>
        <w:rPr>
          <w:rFonts w:cstheme="minorHAnsi"/>
          <w:lang w:val="en-GB"/>
        </w:rPr>
        <w:t xml:space="preserve"> still presents a rather plural context made up by different retail channel</w:t>
      </w:r>
      <w:r w:rsidR="00F430DD" w:rsidRPr="00440567">
        <w:rPr>
          <w:rFonts w:cstheme="minorHAnsi"/>
          <w:lang w:val="en-GB"/>
        </w:rPr>
        <w:t>. D</w:t>
      </w:r>
      <w:r w:rsidR="00E76044" w:rsidRPr="00440567">
        <w:rPr>
          <w:rFonts w:cstheme="minorHAnsi"/>
          <w:lang w:val="en-GB"/>
        </w:rPr>
        <w:t xml:space="preserve">espite the GDO </w:t>
      </w:r>
      <w:r>
        <w:rPr>
          <w:rFonts w:cstheme="minorHAnsi"/>
          <w:lang w:val="en-GB"/>
        </w:rPr>
        <w:t xml:space="preserve">nowadays controls </w:t>
      </w:r>
      <w:r w:rsidR="00E76044" w:rsidRPr="00440567">
        <w:rPr>
          <w:rFonts w:cstheme="minorHAnsi"/>
          <w:lang w:val="en-GB"/>
        </w:rPr>
        <w:t>the majority of the share,</w:t>
      </w:r>
      <w:r w:rsidR="00723C99" w:rsidRPr="00440567">
        <w:rPr>
          <w:rFonts w:cstheme="minorHAnsi"/>
          <w:lang w:val="en-GB"/>
        </w:rPr>
        <w:t xml:space="preserve"> </w:t>
      </w:r>
      <w:r w:rsidR="00E76044" w:rsidRPr="00440567">
        <w:rPr>
          <w:rFonts w:cstheme="minorHAnsi"/>
          <w:lang w:val="en-GB"/>
        </w:rPr>
        <w:t xml:space="preserve">the market is </w:t>
      </w:r>
      <w:r>
        <w:rPr>
          <w:rFonts w:cstheme="minorHAnsi"/>
          <w:lang w:val="en-GB"/>
        </w:rPr>
        <w:t xml:space="preserve">in fact </w:t>
      </w:r>
      <w:r w:rsidR="00E76044" w:rsidRPr="00440567">
        <w:rPr>
          <w:rFonts w:cstheme="minorHAnsi"/>
          <w:lang w:val="en-GB"/>
        </w:rPr>
        <w:t>still</w:t>
      </w:r>
      <w:r w:rsidR="00723C99" w:rsidRPr="00440567">
        <w:rPr>
          <w:rFonts w:cstheme="minorHAnsi"/>
          <w:lang w:val="en-GB"/>
        </w:rPr>
        <w:t xml:space="preserve"> strongly characterised by the presence of small</w:t>
      </w:r>
      <w:r w:rsidR="00E76044" w:rsidRPr="00440567">
        <w:rPr>
          <w:rFonts w:cstheme="minorHAnsi"/>
          <w:lang w:val="en-GB"/>
        </w:rPr>
        <w:t>,</w:t>
      </w:r>
      <w:r w:rsidR="00723C99" w:rsidRPr="00440567">
        <w:rPr>
          <w:rFonts w:cstheme="minorHAnsi"/>
          <w:lang w:val="en-GB"/>
        </w:rPr>
        <w:t xml:space="preserve"> local</w:t>
      </w:r>
      <w:r w:rsidR="00E76044" w:rsidRPr="00440567">
        <w:rPr>
          <w:rFonts w:cstheme="minorHAnsi"/>
          <w:lang w:val="en-GB"/>
        </w:rPr>
        <w:t xml:space="preserve">, family-owned businesses (the so-called </w:t>
      </w:r>
      <w:r w:rsidR="00E76044" w:rsidRPr="00440567">
        <w:rPr>
          <w:rFonts w:cstheme="minorHAnsi"/>
          <w:b/>
          <w:i/>
          <w:lang w:val="en-GB"/>
        </w:rPr>
        <w:t>Commercio al dettaglio in sede fissa</w:t>
      </w:r>
      <w:r w:rsidR="008E1944" w:rsidRPr="00440567">
        <w:rPr>
          <w:rFonts w:cstheme="minorHAnsi"/>
          <w:b/>
          <w:i/>
          <w:lang w:val="en-GB"/>
        </w:rPr>
        <w:t xml:space="preserve"> </w:t>
      </w:r>
      <w:r w:rsidR="008E1944" w:rsidRPr="00440567">
        <w:rPr>
          <w:rFonts w:cstheme="minorHAnsi"/>
          <w:b/>
          <w:lang w:val="en-GB"/>
        </w:rPr>
        <w:t>-</w:t>
      </w:r>
      <w:r w:rsidR="008E1944" w:rsidRPr="00440567">
        <w:rPr>
          <w:rFonts w:cstheme="minorHAnsi"/>
          <w:b/>
          <w:i/>
          <w:lang w:val="en-GB"/>
        </w:rPr>
        <w:t xml:space="preserve"> </w:t>
      </w:r>
      <w:r w:rsidR="008E1944" w:rsidRPr="00440567">
        <w:rPr>
          <w:rFonts w:cstheme="minorHAnsi"/>
          <w:b/>
          <w:lang w:val="en-GB"/>
        </w:rPr>
        <w:t>CDS</w:t>
      </w:r>
      <w:r w:rsidR="00E76044" w:rsidRPr="00440567">
        <w:rPr>
          <w:rFonts w:cstheme="minorHAnsi"/>
          <w:lang w:val="en-GB"/>
        </w:rPr>
        <w:t>)</w:t>
      </w:r>
      <w:r w:rsidR="00F430DD" w:rsidRPr="00440567">
        <w:rPr>
          <w:rFonts w:cstheme="minorHAnsi"/>
          <w:lang w:val="en-GB"/>
        </w:rPr>
        <w:t xml:space="preserve"> and by a low</w:t>
      </w:r>
      <w:r>
        <w:rPr>
          <w:rFonts w:cstheme="minorHAnsi"/>
          <w:lang w:val="en-GB"/>
        </w:rPr>
        <w:t>er</w:t>
      </w:r>
      <w:r w:rsidR="00F430DD" w:rsidRPr="00440567">
        <w:rPr>
          <w:rFonts w:cstheme="minorHAnsi"/>
          <w:lang w:val="en-GB"/>
        </w:rPr>
        <w:t xml:space="preserve"> degree of </w:t>
      </w:r>
      <w:r w:rsidR="00533C14" w:rsidRPr="00440567">
        <w:rPr>
          <w:rFonts w:cstheme="minorHAnsi"/>
          <w:lang w:val="en-GB"/>
        </w:rPr>
        <w:t xml:space="preserve">market </w:t>
      </w:r>
      <w:r w:rsidR="00F430DD" w:rsidRPr="00440567">
        <w:rPr>
          <w:rFonts w:cstheme="minorHAnsi"/>
          <w:lang w:val="en-GB"/>
        </w:rPr>
        <w:t>concentration compared to other EU countries</w:t>
      </w:r>
      <w:r w:rsidR="00146DB9">
        <w:rPr>
          <w:rFonts w:cstheme="minorHAnsi"/>
          <w:lang w:val="en-GB"/>
        </w:rPr>
        <w:t xml:space="preserve"> (Pellegrini &amp; Zanderighi, 2013)</w:t>
      </w:r>
      <w:r w:rsidR="00F430DD" w:rsidRPr="00440567">
        <w:rPr>
          <w:rFonts w:cstheme="minorHAnsi"/>
          <w:lang w:val="en-GB"/>
        </w:rPr>
        <w:t>.</w:t>
      </w:r>
      <w:r w:rsidR="00E26596" w:rsidRPr="00440567">
        <w:rPr>
          <w:rFonts w:cstheme="minorHAnsi"/>
          <w:lang w:val="en-GB"/>
        </w:rPr>
        <w:t xml:space="preserve"> </w:t>
      </w:r>
      <w:r w:rsidR="00F430DD" w:rsidRPr="00440567">
        <w:rPr>
          <w:rFonts w:cstheme="minorHAnsi"/>
          <w:lang w:val="en-GB"/>
        </w:rPr>
        <w:t>CDS</w:t>
      </w:r>
      <w:r w:rsidR="00904F0A" w:rsidRPr="00440567">
        <w:rPr>
          <w:rFonts w:cstheme="minorHAnsi"/>
          <w:lang w:val="en-GB"/>
        </w:rPr>
        <w:t xml:space="preserve"> are</w:t>
      </w:r>
      <w:r w:rsidR="00E76044" w:rsidRPr="00440567">
        <w:rPr>
          <w:rFonts w:cstheme="minorHAnsi"/>
          <w:lang w:val="en-GB"/>
        </w:rPr>
        <w:t xml:space="preserve"> the historical opponents of corporate actors</w:t>
      </w:r>
      <w:r w:rsidR="008E1944" w:rsidRPr="00440567">
        <w:rPr>
          <w:rFonts w:cstheme="minorHAnsi"/>
          <w:lang w:val="en-GB"/>
        </w:rPr>
        <w:t>,</w:t>
      </w:r>
      <w:r w:rsidR="00E76044" w:rsidRPr="00440567">
        <w:rPr>
          <w:rFonts w:cstheme="minorHAnsi"/>
          <w:lang w:val="en-GB"/>
        </w:rPr>
        <w:t xml:space="preserve"> although </w:t>
      </w:r>
      <w:r>
        <w:rPr>
          <w:rFonts w:cstheme="minorHAnsi"/>
          <w:lang w:val="en-GB"/>
        </w:rPr>
        <w:t xml:space="preserve">as underlined by Scarpelini (2017) </w:t>
      </w:r>
      <w:r w:rsidR="00E76044" w:rsidRPr="00440567">
        <w:rPr>
          <w:rFonts w:cstheme="minorHAnsi"/>
          <w:lang w:val="en-GB"/>
        </w:rPr>
        <w:t>they supply food produ</w:t>
      </w:r>
      <w:r w:rsidR="008E1944" w:rsidRPr="00440567">
        <w:rPr>
          <w:rFonts w:cstheme="minorHAnsi"/>
          <w:lang w:val="en-GB"/>
        </w:rPr>
        <w:t xml:space="preserve">cts in a very similar fashion. </w:t>
      </w:r>
      <w:r>
        <w:rPr>
          <w:rFonts w:cstheme="minorHAnsi"/>
          <w:lang w:val="en-GB"/>
        </w:rPr>
        <w:t>Moreover</w:t>
      </w:r>
      <w:r w:rsidR="00533C14" w:rsidRPr="00440567">
        <w:rPr>
          <w:rFonts w:cstheme="minorHAnsi"/>
          <w:lang w:val="en-GB"/>
        </w:rPr>
        <w:t>, t</w:t>
      </w:r>
      <w:r w:rsidR="00E76044" w:rsidRPr="00440567">
        <w:rPr>
          <w:rFonts w:cstheme="minorHAnsi"/>
          <w:lang w:val="en-GB"/>
        </w:rPr>
        <w:t xml:space="preserve">his opposition does not account for </w:t>
      </w:r>
      <w:r w:rsidR="002F2348" w:rsidRPr="00440567">
        <w:rPr>
          <w:rFonts w:cstheme="minorHAnsi"/>
          <w:lang w:val="en-GB"/>
        </w:rPr>
        <w:t>the entire</w:t>
      </w:r>
      <w:r w:rsidR="000F5BBD" w:rsidRPr="00440567">
        <w:rPr>
          <w:rFonts w:cstheme="minorHAnsi"/>
          <w:lang w:val="en-GB"/>
        </w:rPr>
        <w:t xml:space="preserve"> </w:t>
      </w:r>
      <w:r w:rsidR="00533C14" w:rsidRPr="00440567">
        <w:rPr>
          <w:rFonts w:cstheme="minorHAnsi"/>
          <w:lang w:val="en-GB"/>
        </w:rPr>
        <w:t xml:space="preserve">food </w:t>
      </w:r>
      <w:r w:rsidR="000F5BBD" w:rsidRPr="00440567">
        <w:rPr>
          <w:rFonts w:cstheme="minorHAnsi"/>
          <w:lang w:val="en-GB"/>
        </w:rPr>
        <w:t xml:space="preserve">distribution sector, as over the last 15 years, </w:t>
      </w:r>
      <w:r w:rsidR="00B30BD4" w:rsidRPr="00440567">
        <w:rPr>
          <w:rFonts w:cstheme="minorHAnsi"/>
          <w:b/>
          <w:lang w:val="en-GB"/>
        </w:rPr>
        <w:t>A</w:t>
      </w:r>
      <w:r w:rsidR="000F5BBD" w:rsidRPr="00440567">
        <w:rPr>
          <w:rFonts w:cstheme="minorHAnsi"/>
          <w:b/>
          <w:lang w:val="en-GB"/>
        </w:rPr>
        <w:t xml:space="preserve">lternative </w:t>
      </w:r>
      <w:r w:rsidR="00B30BD4" w:rsidRPr="00440567">
        <w:rPr>
          <w:rFonts w:cstheme="minorHAnsi"/>
          <w:b/>
          <w:lang w:val="en-GB"/>
        </w:rPr>
        <w:t>F</w:t>
      </w:r>
      <w:r w:rsidR="000F5BBD" w:rsidRPr="00440567">
        <w:rPr>
          <w:rFonts w:cstheme="minorHAnsi"/>
          <w:b/>
          <w:lang w:val="en-GB"/>
        </w:rPr>
        <w:t xml:space="preserve">ood </w:t>
      </w:r>
      <w:r w:rsidR="00B30BD4" w:rsidRPr="00440567">
        <w:rPr>
          <w:rFonts w:cstheme="minorHAnsi"/>
          <w:b/>
          <w:lang w:val="en-GB"/>
        </w:rPr>
        <w:t>N</w:t>
      </w:r>
      <w:r w:rsidR="000F5BBD" w:rsidRPr="00440567">
        <w:rPr>
          <w:rFonts w:cstheme="minorHAnsi"/>
          <w:b/>
          <w:lang w:val="en-GB"/>
        </w:rPr>
        <w:t>etworks (AFN</w:t>
      </w:r>
      <w:r w:rsidR="00BF2B33">
        <w:rPr>
          <w:rFonts w:cstheme="minorHAnsi"/>
          <w:b/>
          <w:lang w:val="en-GB"/>
        </w:rPr>
        <w:t>s</w:t>
      </w:r>
      <w:r w:rsidR="000F5BBD" w:rsidRPr="00440567">
        <w:rPr>
          <w:rFonts w:cstheme="minorHAnsi"/>
          <w:b/>
          <w:lang w:val="en-GB"/>
        </w:rPr>
        <w:t>)</w:t>
      </w:r>
      <w:r w:rsidR="000F5BBD" w:rsidRPr="00440567">
        <w:rPr>
          <w:rFonts w:cstheme="minorHAnsi"/>
          <w:lang w:val="en-GB"/>
        </w:rPr>
        <w:t xml:space="preserve"> star</w:t>
      </w:r>
      <w:r w:rsidR="00904F0A" w:rsidRPr="00440567">
        <w:rPr>
          <w:rFonts w:cstheme="minorHAnsi"/>
          <w:lang w:val="en-GB"/>
        </w:rPr>
        <w:t xml:space="preserve">ted to appear and to propose an unconventional food supply </w:t>
      </w:r>
      <w:r w:rsidR="000F5BBD" w:rsidRPr="00440567">
        <w:rPr>
          <w:rFonts w:cstheme="minorHAnsi"/>
          <w:lang w:val="en-GB"/>
        </w:rPr>
        <w:t>to more conscious and ethical consumers</w:t>
      </w:r>
      <w:r w:rsidR="00146DB9">
        <w:rPr>
          <w:rFonts w:cstheme="minorHAnsi"/>
          <w:lang w:val="en-GB"/>
        </w:rPr>
        <w:t xml:space="preserve"> (Ventura et al., 2016; Marino, 2017)</w:t>
      </w:r>
      <w:r w:rsidR="000F5BBD" w:rsidRPr="00440567">
        <w:rPr>
          <w:rFonts w:cstheme="minorHAnsi"/>
          <w:lang w:val="en-GB"/>
        </w:rPr>
        <w:t>.</w:t>
      </w:r>
      <w:r w:rsidR="00904F0A" w:rsidRPr="00440567">
        <w:rPr>
          <w:rFonts w:cstheme="minorHAnsi"/>
          <w:lang w:val="en-GB"/>
        </w:rPr>
        <w:t xml:space="preserve"> </w:t>
      </w:r>
    </w:p>
    <w:p w14:paraId="1057AA26" w14:textId="06E35C1B" w:rsidR="00526809" w:rsidRPr="00440567" w:rsidRDefault="004C112B" w:rsidP="008E2A80">
      <w:pPr>
        <w:spacing w:before="60" w:after="60"/>
        <w:jc w:val="both"/>
        <w:rPr>
          <w:rFonts w:cstheme="minorHAnsi"/>
          <w:lang w:val="en-GB"/>
        </w:rPr>
      </w:pPr>
      <w:r>
        <w:rPr>
          <w:rFonts w:cstheme="minorHAnsi"/>
          <w:lang w:val="en-GB"/>
        </w:rPr>
        <w:t>Following the most recent literature on the changes occurred on the supply side in Italy, T</w:t>
      </w:r>
      <w:r w:rsidR="00904F0A" w:rsidRPr="00440567">
        <w:rPr>
          <w:rFonts w:cstheme="minorHAnsi"/>
          <w:lang w:val="en-GB"/>
        </w:rPr>
        <w:t xml:space="preserve">his </w:t>
      </w:r>
      <w:r w:rsidR="00B314DA">
        <w:rPr>
          <w:rFonts w:cstheme="minorHAnsi"/>
          <w:lang w:val="en-GB"/>
        </w:rPr>
        <w:t>fi</w:t>
      </w:r>
      <w:r w:rsidR="00485935">
        <w:rPr>
          <w:rFonts w:cstheme="minorHAnsi"/>
          <w:lang w:val="en-GB"/>
        </w:rPr>
        <w:t>r</w:t>
      </w:r>
      <w:r w:rsidR="00B314DA">
        <w:rPr>
          <w:rFonts w:cstheme="minorHAnsi"/>
          <w:lang w:val="en-GB"/>
        </w:rPr>
        <w:t xml:space="preserve">st </w:t>
      </w:r>
      <w:r w:rsidR="00904F0A" w:rsidRPr="00440567">
        <w:rPr>
          <w:rFonts w:cstheme="minorHAnsi"/>
          <w:lang w:val="en-GB"/>
        </w:rPr>
        <w:t>section,</w:t>
      </w:r>
      <w:r w:rsidR="008E1944" w:rsidRPr="00440567">
        <w:rPr>
          <w:rFonts w:cstheme="minorHAnsi"/>
          <w:lang w:val="en-GB"/>
        </w:rPr>
        <w:t xml:space="preserve"> </w:t>
      </w:r>
      <w:r>
        <w:rPr>
          <w:rFonts w:cstheme="minorHAnsi"/>
          <w:lang w:val="en-GB"/>
        </w:rPr>
        <w:t>p</w:t>
      </w:r>
      <w:r w:rsidR="008E1944" w:rsidRPr="00440567">
        <w:rPr>
          <w:rFonts w:cstheme="minorHAnsi"/>
          <w:lang w:val="en-GB"/>
        </w:rPr>
        <w:t xml:space="preserve"> i) provide</w:t>
      </w:r>
      <w:r>
        <w:rPr>
          <w:rFonts w:cstheme="minorHAnsi"/>
          <w:lang w:val="en-GB"/>
        </w:rPr>
        <w:t>s</w:t>
      </w:r>
      <w:r w:rsidR="008E1944" w:rsidRPr="00440567">
        <w:rPr>
          <w:rFonts w:cstheme="minorHAnsi"/>
          <w:lang w:val="en-GB"/>
        </w:rPr>
        <w:t xml:space="preserve"> a</w:t>
      </w:r>
      <w:r w:rsidR="00E26596" w:rsidRPr="00440567">
        <w:rPr>
          <w:rFonts w:cstheme="minorHAnsi"/>
          <w:lang w:val="en-GB"/>
        </w:rPr>
        <w:t xml:space="preserve"> short</w:t>
      </w:r>
      <w:r w:rsidR="008E1944" w:rsidRPr="00440567">
        <w:rPr>
          <w:rFonts w:cstheme="minorHAnsi"/>
          <w:lang w:val="en-GB"/>
        </w:rPr>
        <w:t xml:space="preserve"> description of the GDO, the CDS, and the AFN</w:t>
      </w:r>
      <w:r w:rsidR="00E26596" w:rsidRPr="00440567">
        <w:rPr>
          <w:rFonts w:cstheme="minorHAnsi"/>
          <w:lang w:val="en-GB"/>
        </w:rPr>
        <w:t>;</w:t>
      </w:r>
      <w:r w:rsidR="008E1944" w:rsidRPr="00440567">
        <w:rPr>
          <w:rFonts w:cstheme="minorHAnsi"/>
          <w:lang w:val="en-GB"/>
        </w:rPr>
        <w:t xml:space="preserve"> i</w:t>
      </w:r>
      <w:r w:rsidR="00E26596" w:rsidRPr="00440567">
        <w:rPr>
          <w:rFonts w:cstheme="minorHAnsi"/>
          <w:lang w:val="en-GB"/>
        </w:rPr>
        <w:t>i</w:t>
      </w:r>
      <w:r w:rsidR="008E1944" w:rsidRPr="00440567">
        <w:rPr>
          <w:rFonts w:cstheme="minorHAnsi"/>
          <w:lang w:val="en-GB"/>
        </w:rPr>
        <w:t>)</w:t>
      </w:r>
      <w:r w:rsidR="00904F0A" w:rsidRPr="00440567">
        <w:rPr>
          <w:rFonts w:cstheme="minorHAnsi"/>
          <w:lang w:val="en-GB"/>
        </w:rPr>
        <w:t xml:space="preserve"> compare</w:t>
      </w:r>
      <w:r>
        <w:rPr>
          <w:rFonts w:cstheme="minorHAnsi"/>
          <w:lang w:val="en-GB"/>
        </w:rPr>
        <w:t>s</w:t>
      </w:r>
      <w:r w:rsidR="00904F0A" w:rsidRPr="00440567">
        <w:rPr>
          <w:rFonts w:cstheme="minorHAnsi"/>
          <w:lang w:val="en-GB"/>
        </w:rPr>
        <w:t xml:space="preserve"> and contrast</w:t>
      </w:r>
      <w:r>
        <w:rPr>
          <w:rFonts w:cstheme="minorHAnsi"/>
          <w:lang w:val="en-GB"/>
        </w:rPr>
        <w:t>s</w:t>
      </w:r>
      <w:r w:rsidR="00904F0A" w:rsidRPr="00440567">
        <w:rPr>
          <w:rFonts w:cstheme="minorHAnsi"/>
          <w:lang w:val="en-GB"/>
        </w:rPr>
        <w:t xml:space="preserve"> the GDO and the </w:t>
      </w:r>
      <w:r w:rsidR="00E26596" w:rsidRPr="00440567">
        <w:rPr>
          <w:rFonts w:cstheme="minorHAnsi"/>
          <w:lang w:val="en-GB"/>
        </w:rPr>
        <w:t>CDS trends</w:t>
      </w:r>
      <w:r w:rsidR="00904F0A" w:rsidRPr="00440567">
        <w:rPr>
          <w:rFonts w:cstheme="minorHAnsi"/>
          <w:lang w:val="en-GB"/>
        </w:rPr>
        <w:t xml:space="preserve">, throwing light on the concentrations vs dispersion opposition in the </w:t>
      </w:r>
      <w:r w:rsidR="00E26596" w:rsidRPr="00440567">
        <w:rPr>
          <w:rFonts w:cstheme="minorHAnsi"/>
          <w:i/>
          <w:lang w:val="en-GB"/>
        </w:rPr>
        <w:t>conventional</w:t>
      </w:r>
      <w:r w:rsidR="00E26596" w:rsidRPr="00440567">
        <w:rPr>
          <w:rFonts w:cstheme="minorHAnsi"/>
          <w:lang w:val="en-GB"/>
        </w:rPr>
        <w:t xml:space="preserve"> </w:t>
      </w:r>
      <w:r w:rsidR="00904F0A" w:rsidRPr="00440567">
        <w:rPr>
          <w:rFonts w:cstheme="minorHAnsi"/>
          <w:lang w:val="en-GB"/>
        </w:rPr>
        <w:t>food distribution sector</w:t>
      </w:r>
      <w:r w:rsidR="008E1944" w:rsidRPr="00440567">
        <w:rPr>
          <w:rFonts w:cstheme="minorHAnsi"/>
          <w:lang w:val="en-GB"/>
        </w:rPr>
        <w:t>;</w:t>
      </w:r>
      <w:r w:rsidR="00904F0A" w:rsidRPr="00440567">
        <w:rPr>
          <w:rFonts w:cstheme="minorHAnsi"/>
          <w:lang w:val="en-GB"/>
        </w:rPr>
        <w:t xml:space="preserve"> </w:t>
      </w:r>
      <w:r w:rsidR="008E1944" w:rsidRPr="00440567">
        <w:rPr>
          <w:rFonts w:cstheme="minorHAnsi"/>
          <w:lang w:val="en-GB"/>
        </w:rPr>
        <w:t>ii</w:t>
      </w:r>
      <w:r w:rsidR="00E26596" w:rsidRPr="00440567">
        <w:rPr>
          <w:rFonts w:cstheme="minorHAnsi"/>
          <w:lang w:val="en-GB"/>
        </w:rPr>
        <w:t>i</w:t>
      </w:r>
      <w:r w:rsidR="008E1944" w:rsidRPr="00440567">
        <w:rPr>
          <w:rFonts w:cstheme="minorHAnsi"/>
          <w:lang w:val="en-GB"/>
        </w:rPr>
        <w:t xml:space="preserve">) </w:t>
      </w:r>
      <w:r w:rsidR="002F2348" w:rsidRPr="00440567">
        <w:rPr>
          <w:rFonts w:cstheme="minorHAnsi"/>
          <w:lang w:val="en-GB"/>
        </w:rPr>
        <w:t>present</w:t>
      </w:r>
      <w:r>
        <w:rPr>
          <w:rFonts w:cstheme="minorHAnsi"/>
          <w:lang w:val="en-GB"/>
        </w:rPr>
        <w:t>s</w:t>
      </w:r>
      <w:r w:rsidR="002F2348" w:rsidRPr="00440567">
        <w:rPr>
          <w:rFonts w:cstheme="minorHAnsi"/>
          <w:lang w:val="en-GB"/>
        </w:rPr>
        <w:t xml:space="preserve"> the main typologies of AFN and their vision.  </w:t>
      </w:r>
    </w:p>
    <w:p w14:paraId="0CE2BD13" w14:textId="77777777" w:rsidR="004C112B" w:rsidRDefault="004C112B" w:rsidP="008E2A80">
      <w:pPr>
        <w:pStyle w:val="Titolo3"/>
        <w:spacing w:before="60" w:after="60"/>
        <w:jc w:val="both"/>
        <w:rPr>
          <w:rFonts w:asciiTheme="minorHAnsi" w:hAnsiTheme="minorHAnsi" w:cstheme="minorHAnsi"/>
          <w:lang w:val="en-GB"/>
        </w:rPr>
      </w:pPr>
    </w:p>
    <w:p w14:paraId="5385EB98" w14:textId="1FE41ABE" w:rsidR="00845A8B" w:rsidRPr="00F0062A" w:rsidRDefault="00845A8B" w:rsidP="008E2A80">
      <w:pPr>
        <w:pStyle w:val="Titolo3"/>
        <w:spacing w:before="60" w:after="60"/>
        <w:jc w:val="both"/>
        <w:rPr>
          <w:rFonts w:asciiTheme="minorHAnsi" w:hAnsiTheme="minorHAnsi" w:cstheme="minorHAnsi"/>
          <w:i/>
          <w:lang w:val="en-GB"/>
        </w:rPr>
      </w:pPr>
      <w:r w:rsidRPr="00F0062A">
        <w:rPr>
          <w:rFonts w:asciiTheme="minorHAnsi" w:hAnsiTheme="minorHAnsi" w:cstheme="minorHAnsi"/>
          <w:i/>
          <w:lang w:val="en-GB"/>
        </w:rPr>
        <w:t>2.1 Definitions and main characteristics</w:t>
      </w:r>
    </w:p>
    <w:p w14:paraId="248C6B2E" w14:textId="02E8310E" w:rsidR="004C112B" w:rsidRDefault="00845A8B" w:rsidP="00F0062A">
      <w:pPr>
        <w:pStyle w:val="Paragrafoelenco"/>
        <w:numPr>
          <w:ilvl w:val="0"/>
          <w:numId w:val="1"/>
        </w:numPr>
        <w:spacing w:before="60" w:after="60"/>
        <w:ind w:left="284" w:hanging="284"/>
        <w:jc w:val="both"/>
        <w:rPr>
          <w:rFonts w:cstheme="minorHAnsi"/>
          <w:lang w:val="en-GB"/>
        </w:rPr>
      </w:pPr>
      <w:r w:rsidRPr="00440567">
        <w:rPr>
          <w:rFonts w:cstheme="minorHAnsi"/>
          <w:b/>
          <w:lang w:val="en-GB"/>
        </w:rPr>
        <w:t xml:space="preserve">GDO: </w:t>
      </w:r>
      <w:r w:rsidRPr="00440567">
        <w:rPr>
          <w:rFonts w:cstheme="minorHAnsi"/>
          <w:lang w:val="en-GB"/>
        </w:rPr>
        <w:t>The acronym GDO stands for Grande Distribuzione Organizzata, and ga</w:t>
      </w:r>
      <w:r w:rsidR="00BD7B30" w:rsidRPr="00440567">
        <w:rPr>
          <w:rFonts w:cstheme="minorHAnsi"/>
          <w:lang w:val="en-GB"/>
        </w:rPr>
        <w:t>thers together the GD and the D</w:t>
      </w:r>
      <w:r w:rsidR="00482C00" w:rsidRPr="00440567">
        <w:rPr>
          <w:rFonts w:cstheme="minorHAnsi"/>
          <w:lang w:val="en-GB"/>
        </w:rPr>
        <w:t>O, for a total food market share of 73.5% (Federdistribuzione, 2016)</w:t>
      </w:r>
      <w:r w:rsidR="00E1615A">
        <w:rPr>
          <w:rFonts w:cstheme="minorHAnsi"/>
          <w:lang w:val="en-GB"/>
        </w:rPr>
        <w:t xml:space="preserve"> and a turnover of 58.1 billions (Area Studi Mediobanca, 2017)</w:t>
      </w:r>
      <w:r w:rsidR="00BD7B30" w:rsidRPr="00440567">
        <w:rPr>
          <w:rFonts w:cstheme="minorHAnsi"/>
          <w:lang w:val="en-GB"/>
        </w:rPr>
        <w:t>. The former is characterised by the centralisation of the property in one company or group of companies (i.e. Esselunga, Auchan, Carrefour, Finiper, Gruppo Pam, Bennet, Lidl Italia, Eurospin). The DO, also known as Distribuzione Associata (Associate Distribution), present</w:t>
      </w:r>
      <w:r w:rsidR="009D7F54" w:rsidRPr="00440567">
        <w:rPr>
          <w:rFonts w:cstheme="minorHAnsi"/>
          <w:lang w:val="en-GB"/>
        </w:rPr>
        <w:t>s</w:t>
      </w:r>
      <w:r w:rsidR="00BD7B30" w:rsidRPr="00440567">
        <w:rPr>
          <w:rFonts w:cstheme="minorHAnsi"/>
          <w:lang w:val="en-GB"/>
        </w:rPr>
        <w:t xml:space="preserve"> a higher d</w:t>
      </w:r>
      <w:r w:rsidR="009D7F54" w:rsidRPr="00440567">
        <w:rPr>
          <w:rFonts w:cstheme="minorHAnsi"/>
          <w:lang w:val="en-GB"/>
        </w:rPr>
        <w:t xml:space="preserve">egree of differentiation as the property is diffuse and regulated by voluntary agreements of the </w:t>
      </w:r>
      <w:r w:rsidR="009D7F54" w:rsidRPr="00440567">
        <w:rPr>
          <w:rFonts w:cstheme="minorHAnsi"/>
          <w:lang w:val="en-GB"/>
        </w:rPr>
        <w:lastRenderedPageBreak/>
        <w:t>traders (e.g. Coop, Conad, Selex, Despar), although vertical integration for the logistics, marketing, and commercial policies are common</w:t>
      </w:r>
      <w:r w:rsidR="00805FF2">
        <w:rPr>
          <w:rFonts w:cstheme="minorHAnsi"/>
          <w:lang w:val="en-GB"/>
        </w:rPr>
        <w:t xml:space="preserve"> (Distribuzione Moderna, 2018)</w:t>
      </w:r>
      <w:r w:rsidR="009D7F54" w:rsidRPr="00440567">
        <w:rPr>
          <w:rFonts w:cstheme="minorHAnsi"/>
          <w:lang w:val="en-GB"/>
        </w:rPr>
        <w:t xml:space="preserve">.  </w:t>
      </w:r>
    </w:p>
    <w:p w14:paraId="4219339D" w14:textId="77777777" w:rsidR="00485935" w:rsidRPr="00485935" w:rsidRDefault="00485935" w:rsidP="00485935">
      <w:pPr>
        <w:pStyle w:val="Paragrafoelenco"/>
        <w:spacing w:before="60" w:after="60"/>
        <w:ind w:left="284"/>
        <w:jc w:val="both"/>
        <w:rPr>
          <w:rFonts w:cstheme="minorHAnsi"/>
          <w:lang w:val="en-GB"/>
        </w:rPr>
      </w:pPr>
    </w:p>
    <w:p w14:paraId="0C7C46A3" w14:textId="77777777" w:rsidR="00A26563" w:rsidRDefault="0067695E" w:rsidP="00A26563">
      <w:pPr>
        <w:pStyle w:val="Paragrafoelenco"/>
        <w:keepNext/>
        <w:spacing w:before="60" w:after="60"/>
        <w:ind w:left="284"/>
        <w:jc w:val="center"/>
      </w:pPr>
      <w:r w:rsidRPr="00440567">
        <w:rPr>
          <w:rFonts w:cstheme="minorHAnsi"/>
          <w:noProof/>
          <w:lang w:val="en-GB" w:eastAsia="en-GB"/>
        </w:rPr>
        <w:drawing>
          <wp:inline distT="0" distB="0" distL="0" distR="0" wp14:anchorId="49026E59" wp14:editId="78A409DE">
            <wp:extent cx="3792773" cy="2178657"/>
            <wp:effectExtent l="0" t="0" r="17780" b="1270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588920" w14:textId="275A7E92" w:rsidR="0067695E" w:rsidRPr="00440567" w:rsidRDefault="00A26563" w:rsidP="00A26563">
      <w:pPr>
        <w:pStyle w:val="Didascalia"/>
        <w:jc w:val="center"/>
        <w:rPr>
          <w:rFonts w:cstheme="minorHAnsi"/>
          <w:lang w:val="en-GB"/>
        </w:rPr>
      </w:pPr>
      <w:r w:rsidRPr="00A26563">
        <w:rPr>
          <w:lang w:val="en-GB"/>
        </w:rPr>
        <w:t xml:space="preserve">Figure </w:t>
      </w:r>
      <w:r>
        <w:fldChar w:fldCharType="begin"/>
      </w:r>
      <w:r w:rsidRPr="00A26563">
        <w:rPr>
          <w:lang w:val="en-GB"/>
        </w:rPr>
        <w:instrText xml:space="preserve"> SEQ Figure \* ARABIC </w:instrText>
      </w:r>
      <w:r>
        <w:fldChar w:fldCharType="separate"/>
      </w:r>
      <w:r w:rsidR="00212D63">
        <w:rPr>
          <w:noProof/>
          <w:lang w:val="en-GB"/>
        </w:rPr>
        <w:t>1</w:t>
      </w:r>
      <w:r>
        <w:fldChar w:fldCharType="end"/>
      </w:r>
      <w:r w:rsidRPr="00A26563">
        <w:rPr>
          <w:lang w:val="en-GB"/>
        </w:rPr>
        <w:t xml:space="preserve">. Market share of first 10 GDO groups. </w:t>
      </w:r>
      <w:r>
        <w:rPr>
          <w:lang w:val="en-GB"/>
        </w:rPr>
        <w:t xml:space="preserve">Federdistribuzione (2016). </w:t>
      </w:r>
    </w:p>
    <w:p w14:paraId="47F8D46F" w14:textId="77777777" w:rsidR="0067695E" w:rsidRPr="00440567" w:rsidRDefault="0067695E" w:rsidP="008E2A80">
      <w:pPr>
        <w:pStyle w:val="Paragrafoelenco"/>
        <w:spacing w:before="60" w:after="60"/>
        <w:ind w:left="284"/>
        <w:jc w:val="both"/>
        <w:rPr>
          <w:rFonts w:cstheme="minorHAnsi"/>
          <w:lang w:val="en-GB"/>
        </w:rPr>
      </w:pPr>
    </w:p>
    <w:p w14:paraId="07ACDB43" w14:textId="562D61BA" w:rsidR="00352A3D" w:rsidRPr="00440567" w:rsidRDefault="00352A3D" w:rsidP="008E2A80">
      <w:pPr>
        <w:pStyle w:val="Paragrafoelenco"/>
        <w:spacing w:before="60" w:after="60"/>
        <w:ind w:left="284"/>
        <w:jc w:val="both"/>
        <w:rPr>
          <w:rFonts w:cstheme="minorHAnsi"/>
          <w:lang w:val="en-GB"/>
        </w:rPr>
      </w:pPr>
      <w:r w:rsidRPr="00440567">
        <w:rPr>
          <w:rFonts w:cstheme="minorHAnsi"/>
          <w:lang w:val="en-GB"/>
        </w:rPr>
        <w:t xml:space="preserve">Both GD and DO are characterised by the organisation of the distribution through different stores, which can be distinguished depending on the </w:t>
      </w:r>
      <w:r w:rsidR="00EE2B02" w:rsidRPr="00440567">
        <w:rPr>
          <w:rFonts w:cstheme="minorHAnsi"/>
          <w:lang w:val="en-GB"/>
        </w:rPr>
        <w:t>store dimension</w:t>
      </w:r>
      <w:r w:rsidRPr="00440567">
        <w:rPr>
          <w:rFonts w:cstheme="minorHAnsi"/>
          <w:lang w:val="en-GB"/>
        </w:rPr>
        <w:t>: minimarket and superette (100-400 squared meters</w:t>
      </w:r>
      <w:r w:rsidR="008531D6" w:rsidRPr="00440567">
        <w:rPr>
          <w:rFonts w:cstheme="minorHAnsi"/>
          <w:lang w:val="en-GB"/>
        </w:rPr>
        <w:t>, now opening in many historical city centres</w:t>
      </w:r>
      <w:r w:rsidRPr="00440567">
        <w:rPr>
          <w:rFonts w:cstheme="minorHAnsi"/>
          <w:lang w:val="en-GB"/>
        </w:rPr>
        <w:t>); supermarkets (small: 400-800 sqm; big: 800-1500</w:t>
      </w:r>
      <w:r w:rsidR="009D2EE4" w:rsidRPr="00440567">
        <w:rPr>
          <w:rFonts w:cstheme="minorHAnsi"/>
          <w:lang w:val="en-GB"/>
        </w:rPr>
        <w:t xml:space="preserve"> sqm</w:t>
      </w:r>
      <w:r w:rsidRPr="00440567">
        <w:rPr>
          <w:rFonts w:cstheme="minorHAnsi"/>
          <w:lang w:val="en-GB"/>
        </w:rPr>
        <w:t>); superstore (1500-2500</w:t>
      </w:r>
      <w:r w:rsidR="009D2EE4" w:rsidRPr="00440567">
        <w:rPr>
          <w:rFonts w:cstheme="minorHAnsi"/>
          <w:lang w:val="en-GB"/>
        </w:rPr>
        <w:t xml:space="preserve"> sqm</w:t>
      </w:r>
      <w:r w:rsidRPr="00440567">
        <w:rPr>
          <w:rFonts w:cstheme="minorHAnsi"/>
          <w:lang w:val="en-GB"/>
        </w:rPr>
        <w:t>); iperstore (2500-4000</w:t>
      </w:r>
      <w:r w:rsidR="009D2EE4" w:rsidRPr="00440567">
        <w:rPr>
          <w:rFonts w:cstheme="minorHAnsi"/>
          <w:lang w:val="en-GB"/>
        </w:rPr>
        <w:t xml:space="preserve"> sqm</w:t>
      </w:r>
      <w:r w:rsidRPr="00440567">
        <w:rPr>
          <w:rFonts w:cstheme="minorHAnsi"/>
          <w:lang w:val="en-GB"/>
        </w:rPr>
        <w:t xml:space="preserve">). On top of this distinction, two other food distribution </w:t>
      </w:r>
      <w:r w:rsidR="00AB6C7F" w:rsidRPr="00440567">
        <w:rPr>
          <w:rFonts w:cstheme="minorHAnsi"/>
          <w:lang w:val="en-GB"/>
        </w:rPr>
        <w:t>channels</w:t>
      </w:r>
      <w:r w:rsidRPr="00440567">
        <w:rPr>
          <w:rFonts w:cstheme="minorHAnsi"/>
          <w:lang w:val="en-GB"/>
        </w:rPr>
        <w:t xml:space="preserve"> can be mentioned: </w:t>
      </w:r>
      <w:r w:rsidR="00EE2B02" w:rsidRPr="00440567">
        <w:rPr>
          <w:rFonts w:cstheme="minorHAnsi"/>
          <w:lang w:val="en-GB"/>
        </w:rPr>
        <w:t xml:space="preserve">Soft/Hard </w:t>
      </w:r>
      <w:r w:rsidRPr="00440567">
        <w:rPr>
          <w:rFonts w:cstheme="minorHAnsi"/>
          <w:lang w:val="en-GB"/>
        </w:rPr>
        <w:t>Discounts</w:t>
      </w:r>
      <w:r w:rsidR="00EE2B02" w:rsidRPr="00440567">
        <w:rPr>
          <w:rFonts w:cstheme="minorHAnsi"/>
          <w:lang w:val="en-GB"/>
        </w:rPr>
        <w:t xml:space="preserve"> (e.g. Lidl, Eurospin, Prix), based on the proposal of unbranded, cheap products; and </w:t>
      </w:r>
      <w:r w:rsidR="00EE2B02" w:rsidRPr="00440567">
        <w:rPr>
          <w:rFonts w:cstheme="minorHAnsi"/>
          <w:i/>
          <w:lang w:val="en-GB"/>
        </w:rPr>
        <w:t>Grande Distribuzione Specializzata</w:t>
      </w:r>
      <w:r w:rsidRPr="00440567">
        <w:rPr>
          <w:rFonts w:cstheme="minorHAnsi"/>
          <w:lang w:val="en-GB"/>
        </w:rPr>
        <w:t xml:space="preserve"> </w:t>
      </w:r>
      <w:r w:rsidR="00EE2B02" w:rsidRPr="00440567">
        <w:rPr>
          <w:rFonts w:cstheme="minorHAnsi"/>
          <w:lang w:val="en-GB"/>
        </w:rPr>
        <w:t xml:space="preserve">(Ecornatura sì, Sapore di Mare), specialised in the supply of </w:t>
      </w:r>
      <w:r w:rsidR="00AB6C7F" w:rsidRPr="00440567">
        <w:rPr>
          <w:rFonts w:cstheme="minorHAnsi"/>
          <w:lang w:val="en-GB"/>
        </w:rPr>
        <w:t>specific</w:t>
      </w:r>
      <w:r w:rsidR="00EE2B02" w:rsidRPr="00440567">
        <w:rPr>
          <w:rFonts w:cstheme="minorHAnsi"/>
          <w:lang w:val="en-GB"/>
        </w:rPr>
        <w:t xml:space="preserve"> food products su</w:t>
      </w:r>
      <w:r w:rsidR="00AB6C7F" w:rsidRPr="00440567">
        <w:rPr>
          <w:rFonts w:cstheme="minorHAnsi"/>
          <w:lang w:val="en-GB"/>
        </w:rPr>
        <w:t xml:space="preserve">ch as organic food or frozen </w:t>
      </w:r>
      <w:r w:rsidR="00EE2B02" w:rsidRPr="00440567">
        <w:rPr>
          <w:rFonts w:cstheme="minorHAnsi"/>
          <w:lang w:val="en-GB"/>
        </w:rPr>
        <w:t>food).</w:t>
      </w:r>
      <w:r w:rsidR="008531D6" w:rsidRPr="00440567">
        <w:rPr>
          <w:rFonts w:cstheme="minorHAnsi"/>
          <w:lang w:val="en-GB"/>
        </w:rPr>
        <w:t xml:space="preserve"> </w:t>
      </w:r>
    </w:p>
    <w:p w14:paraId="2F39FC37" w14:textId="71F80391" w:rsidR="00F06A15" w:rsidRPr="00440567" w:rsidRDefault="00F06A15" w:rsidP="008E2A80">
      <w:pPr>
        <w:pStyle w:val="Paragrafoelenco"/>
        <w:spacing w:before="60" w:after="60"/>
        <w:ind w:left="284"/>
        <w:jc w:val="both"/>
        <w:rPr>
          <w:rFonts w:cstheme="minorHAnsi"/>
          <w:lang w:val="en-GB"/>
        </w:rPr>
      </w:pPr>
    </w:p>
    <w:p w14:paraId="5B87F936" w14:textId="77777777" w:rsidR="00A26563" w:rsidRDefault="004677B6" w:rsidP="00A26563">
      <w:pPr>
        <w:pStyle w:val="Paragrafoelenco"/>
        <w:keepNext/>
        <w:spacing w:before="60" w:after="60"/>
        <w:ind w:left="284"/>
        <w:jc w:val="center"/>
      </w:pPr>
      <w:r w:rsidRPr="00440567">
        <w:rPr>
          <w:rFonts w:cstheme="minorHAnsi"/>
          <w:noProof/>
          <w:lang w:val="en-GB" w:eastAsia="en-GB"/>
        </w:rPr>
        <w:drawing>
          <wp:inline distT="0" distB="0" distL="0" distR="0" wp14:anchorId="4F6AD408" wp14:editId="2FF5BAEF">
            <wp:extent cx="4950381" cy="1249788"/>
            <wp:effectExtent l="0" t="0" r="3175"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png"/>
                    <pic:cNvPicPr/>
                  </pic:nvPicPr>
                  <pic:blipFill>
                    <a:blip r:embed="rId9">
                      <a:extLst>
                        <a:ext uri="{28A0092B-C50C-407E-A947-70E740481C1C}">
                          <a14:useLocalDpi xmlns:a14="http://schemas.microsoft.com/office/drawing/2010/main" val="0"/>
                        </a:ext>
                      </a:extLst>
                    </a:blip>
                    <a:stretch>
                      <a:fillRect/>
                    </a:stretch>
                  </pic:blipFill>
                  <pic:spPr>
                    <a:xfrm>
                      <a:off x="0" y="0"/>
                      <a:ext cx="4950381" cy="1249788"/>
                    </a:xfrm>
                    <a:prstGeom prst="rect">
                      <a:avLst/>
                    </a:prstGeom>
                  </pic:spPr>
                </pic:pic>
              </a:graphicData>
            </a:graphic>
          </wp:inline>
        </w:drawing>
      </w:r>
    </w:p>
    <w:p w14:paraId="52ADC344" w14:textId="1367A50C" w:rsidR="00F06A15" w:rsidRPr="00440567" w:rsidRDefault="00A26563" w:rsidP="00A26563">
      <w:pPr>
        <w:pStyle w:val="Didascalia"/>
        <w:jc w:val="center"/>
        <w:rPr>
          <w:rFonts w:cstheme="minorHAnsi"/>
          <w:lang w:val="en-GB"/>
        </w:rPr>
      </w:pPr>
      <w:r w:rsidRPr="00A26563">
        <w:rPr>
          <w:lang w:val="en-GB"/>
        </w:rPr>
        <w:t xml:space="preserve">Figure </w:t>
      </w:r>
      <w:r>
        <w:fldChar w:fldCharType="begin"/>
      </w:r>
      <w:r w:rsidRPr="00A26563">
        <w:rPr>
          <w:lang w:val="en-GB"/>
        </w:rPr>
        <w:instrText xml:space="preserve"> SEQ Figure \* ARABIC </w:instrText>
      </w:r>
      <w:r>
        <w:fldChar w:fldCharType="separate"/>
      </w:r>
      <w:r w:rsidR="00212D63">
        <w:rPr>
          <w:noProof/>
          <w:lang w:val="en-GB"/>
        </w:rPr>
        <w:t>2</w:t>
      </w:r>
      <w:r>
        <w:fldChar w:fldCharType="end"/>
      </w:r>
      <w:r w:rsidRPr="00A26563">
        <w:rPr>
          <w:lang w:val="en-GB"/>
        </w:rPr>
        <w:t xml:space="preserve">. </w:t>
      </w:r>
      <w:r>
        <w:rPr>
          <w:lang w:val="en-GB"/>
        </w:rPr>
        <w:t>Type of food s</w:t>
      </w:r>
      <w:r w:rsidRPr="00A26563">
        <w:rPr>
          <w:lang w:val="en-GB"/>
        </w:rPr>
        <w:t>tore</w:t>
      </w:r>
      <w:r>
        <w:rPr>
          <w:lang w:val="en-GB"/>
        </w:rPr>
        <w:t xml:space="preserve"> by</w:t>
      </w:r>
      <w:r w:rsidRPr="00A26563">
        <w:rPr>
          <w:lang w:val="en-GB"/>
        </w:rPr>
        <w:t xml:space="preserve"> </w:t>
      </w:r>
      <w:r>
        <w:rPr>
          <w:lang w:val="en-GB"/>
        </w:rPr>
        <w:t>squared meters</w:t>
      </w:r>
      <w:r w:rsidRPr="00A26563">
        <w:rPr>
          <w:lang w:val="en-GB"/>
        </w:rPr>
        <w:t xml:space="preserve">. </w:t>
      </w:r>
    </w:p>
    <w:p w14:paraId="15029982" w14:textId="77777777" w:rsidR="00F06A15" w:rsidRPr="00440567" w:rsidRDefault="00F06A15" w:rsidP="008E2A80">
      <w:pPr>
        <w:pStyle w:val="Paragrafoelenco"/>
        <w:spacing w:before="60" w:after="60"/>
        <w:ind w:left="284"/>
        <w:jc w:val="both"/>
        <w:rPr>
          <w:rFonts w:cstheme="minorHAnsi"/>
          <w:lang w:val="en-GB"/>
        </w:rPr>
      </w:pPr>
    </w:p>
    <w:p w14:paraId="2B2E679F" w14:textId="7A340741" w:rsidR="00651D57" w:rsidRPr="006013B3" w:rsidRDefault="00C46025" w:rsidP="006013B3">
      <w:pPr>
        <w:pStyle w:val="Paragrafoelenco"/>
        <w:spacing w:before="60" w:after="60"/>
        <w:ind w:left="284"/>
        <w:jc w:val="both"/>
        <w:rPr>
          <w:rFonts w:cstheme="minorHAnsi"/>
          <w:lang w:val="en-GB"/>
        </w:rPr>
      </w:pPr>
      <w:r w:rsidRPr="00440567">
        <w:rPr>
          <w:rFonts w:cstheme="minorHAnsi"/>
          <w:lang w:val="en-GB"/>
        </w:rPr>
        <w:t xml:space="preserve">The core characteristic of the GDO is the creation, since the 80s, of the </w:t>
      </w:r>
      <w:r w:rsidRPr="00440567">
        <w:rPr>
          <w:rFonts w:cstheme="minorHAnsi"/>
          <w:i/>
          <w:lang w:val="en-GB"/>
        </w:rPr>
        <w:t>Supecentrali di acquisto</w:t>
      </w:r>
      <w:r w:rsidRPr="00440567">
        <w:rPr>
          <w:rFonts w:cstheme="minorHAnsi"/>
          <w:lang w:val="en-GB"/>
        </w:rPr>
        <w:t xml:space="preserve"> (</w:t>
      </w:r>
      <w:r w:rsidR="00AB327D" w:rsidRPr="00440567">
        <w:rPr>
          <w:rFonts w:cstheme="minorHAnsi"/>
          <w:lang w:val="en-GB"/>
        </w:rPr>
        <w:t>Supercentrals</w:t>
      </w:r>
      <w:r w:rsidRPr="00440567">
        <w:rPr>
          <w:rFonts w:cstheme="minorHAnsi"/>
          <w:lang w:val="en-GB"/>
        </w:rPr>
        <w:t xml:space="preserve">). </w:t>
      </w:r>
      <w:r w:rsidR="00146DB9">
        <w:rPr>
          <w:rFonts w:cstheme="minorHAnsi"/>
          <w:lang w:val="en-GB"/>
        </w:rPr>
        <w:t>S</w:t>
      </w:r>
      <w:r w:rsidR="00AB327D" w:rsidRPr="00440567">
        <w:rPr>
          <w:rFonts w:cstheme="minorHAnsi"/>
          <w:lang w:val="en-GB"/>
        </w:rPr>
        <w:t>upercentrals</w:t>
      </w:r>
      <w:r w:rsidRPr="00440567">
        <w:rPr>
          <w:rFonts w:cstheme="minorHAnsi"/>
          <w:lang w:val="en-GB"/>
        </w:rPr>
        <w:t xml:space="preserve"> are </w:t>
      </w:r>
      <w:r w:rsidR="005D6D1B" w:rsidRPr="00440567">
        <w:rPr>
          <w:rFonts w:cstheme="minorHAnsi"/>
          <w:lang w:val="en-GB"/>
        </w:rPr>
        <w:t xml:space="preserve">oligopolistic </w:t>
      </w:r>
      <w:r w:rsidRPr="00440567">
        <w:rPr>
          <w:rFonts w:cstheme="minorHAnsi"/>
          <w:lang w:val="en-GB"/>
        </w:rPr>
        <w:t>alliances between competitor companies</w:t>
      </w:r>
      <w:r w:rsidR="00AB327D" w:rsidRPr="00440567">
        <w:rPr>
          <w:rFonts w:cstheme="minorHAnsi"/>
          <w:lang w:val="en-GB"/>
        </w:rPr>
        <w:t xml:space="preserve"> (Italian or European)</w:t>
      </w:r>
      <w:r w:rsidRPr="00440567">
        <w:rPr>
          <w:rFonts w:cstheme="minorHAnsi"/>
          <w:lang w:val="en-GB"/>
        </w:rPr>
        <w:t xml:space="preserve"> for negotiating the general purchasing conditions </w:t>
      </w:r>
      <w:r w:rsidR="005D6D1B" w:rsidRPr="00440567">
        <w:rPr>
          <w:rFonts w:cstheme="minorHAnsi"/>
          <w:lang w:val="en-GB"/>
        </w:rPr>
        <w:t>of most products that end up on the shelves</w:t>
      </w:r>
      <w:r w:rsidR="00AB6C7F" w:rsidRPr="00440567">
        <w:rPr>
          <w:rFonts w:cstheme="minorHAnsi"/>
          <w:lang w:val="en-GB"/>
        </w:rPr>
        <w:t>,</w:t>
      </w:r>
      <w:r w:rsidR="00AB327D" w:rsidRPr="00440567">
        <w:rPr>
          <w:rFonts w:cstheme="minorHAnsi"/>
          <w:lang w:val="en-GB"/>
        </w:rPr>
        <w:t xml:space="preserve"> and aim</w:t>
      </w:r>
      <w:r w:rsidR="00AB6C7F" w:rsidRPr="00440567">
        <w:rPr>
          <w:rFonts w:cstheme="minorHAnsi"/>
          <w:lang w:val="en-GB"/>
        </w:rPr>
        <w:t>ing</w:t>
      </w:r>
      <w:r w:rsidR="00AB327D" w:rsidRPr="00440567">
        <w:rPr>
          <w:rFonts w:cstheme="minorHAnsi"/>
          <w:lang w:val="en-GB"/>
        </w:rPr>
        <w:t xml:space="preserve"> to increase the bargaining power with suppliers</w:t>
      </w:r>
      <w:r w:rsidR="00146DB9">
        <w:rPr>
          <w:rFonts w:cstheme="minorHAnsi"/>
          <w:lang w:val="en-GB"/>
        </w:rPr>
        <w:t xml:space="preserve"> (</w:t>
      </w:r>
      <w:r w:rsidR="00805FF2">
        <w:rPr>
          <w:rFonts w:cstheme="minorHAnsi"/>
          <w:lang w:val="en-GB"/>
        </w:rPr>
        <w:t>Ciconte &amp; Liberti, 2017</w:t>
      </w:r>
      <w:r w:rsidR="00146DB9">
        <w:rPr>
          <w:rFonts w:cstheme="minorHAnsi"/>
          <w:lang w:val="en-GB"/>
        </w:rPr>
        <w:t>)</w:t>
      </w:r>
      <w:r w:rsidR="005D6D1B" w:rsidRPr="00440567">
        <w:rPr>
          <w:rFonts w:cstheme="minorHAnsi"/>
          <w:lang w:val="en-GB"/>
        </w:rPr>
        <w:t>. Although some companies, by virtue of their dimensions, negotiate the products supply on their own (e.g. Esselunga, Carrefour), most alliance are constituted b</w:t>
      </w:r>
      <w:r w:rsidR="00AB327D" w:rsidRPr="00440567">
        <w:rPr>
          <w:rFonts w:cstheme="minorHAnsi"/>
          <w:lang w:val="en-GB"/>
        </w:rPr>
        <w:t>y seve</w:t>
      </w:r>
      <w:r w:rsidR="00745153" w:rsidRPr="00440567">
        <w:rPr>
          <w:rFonts w:cstheme="minorHAnsi"/>
          <w:lang w:val="en-GB"/>
        </w:rPr>
        <w:t>ral GDO companies.</w:t>
      </w:r>
      <w:r w:rsidR="00D07D18" w:rsidRPr="00440567">
        <w:rPr>
          <w:rFonts w:cstheme="minorHAnsi"/>
          <w:lang w:val="en-GB"/>
        </w:rPr>
        <w:t xml:space="preserve"> In 2012, there were 7 Supercentrals operating within the Italian territory, involving 21 chains and accounting for 78 percent of total sales in the retail industry. The first three groups represented 50 percent of the Italian retail market (Fraquelli &amp; Menozzi, 2014).</w:t>
      </w:r>
      <w:r w:rsidR="000A7929" w:rsidRPr="00440567">
        <w:rPr>
          <w:rFonts w:cstheme="minorHAnsi"/>
          <w:lang w:val="en-GB"/>
        </w:rPr>
        <w:t xml:space="preserve"> </w:t>
      </w:r>
      <w:r w:rsidR="00D07D18" w:rsidRPr="00440567">
        <w:rPr>
          <w:rFonts w:cstheme="minorHAnsi"/>
          <w:lang w:val="en-GB"/>
        </w:rPr>
        <w:t>Critics of the supercentrals highlight how this concentration is problematic</w:t>
      </w:r>
      <w:r w:rsidR="00482C00" w:rsidRPr="00440567">
        <w:rPr>
          <w:rFonts w:cstheme="minorHAnsi"/>
          <w:lang w:val="en-GB"/>
        </w:rPr>
        <w:t xml:space="preserve"> at least</w:t>
      </w:r>
      <w:r w:rsidR="00D07D18" w:rsidRPr="00440567">
        <w:rPr>
          <w:rFonts w:cstheme="minorHAnsi"/>
          <w:lang w:val="en-GB"/>
        </w:rPr>
        <w:t xml:space="preserve"> for two main reasons: on the one hand, </w:t>
      </w:r>
      <w:r w:rsidR="00672B53" w:rsidRPr="00440567">
        <w:rPr>
          <w:rFonts w:cstheme="minorHAnsi"/>
          <w:lang w:val="en-GB"/>
        </w:rPr>
        <w:t xml:space="preserve">the </w:t>
      </w:r>
      <w:r w:rsidR="00482C00" w:rsidRPr="00440567">
        <w:rPr>
          <w:rFonts w:cstheme="minorHAnsi"/>
          <w:lang w:val="en-GB"/>
        </w:rPr>
        <w:t>progressive homogenisation of the distributors, purchasing conditions and promotional budget restricts the competitive dynamics with a possible effect on food prices</w:t>
      </w:r>
      <w:r w:rsidR="00814D6D" w:rsidRPr="00440567">
        <w:rPr>
          <w:rFonts w:cstheme="minorHAnsi"/>
          <w:lang w:val="en-GB"/>
        </w:rPr>
        <w:t>.</w:t>
      </w:r>
      <w:r w:rsidR="00482C00" w:rsidRPr="00440567">
        <w:rPr>
          <w:rFonts w:cstheme="minorHAnsi"/>
          <w:lang w:val="en-GB"/>
        </w:rPr>
        <w:t xml:space="preserve"> </w:t>
      </w:r>
      <w:r w:rsidR="00814D6D" w:rsidRPr="00440567">
        <w:rPr>
          <w:rFonts w:cstheme="minorHAnsi"/>
          <w:lang w:val="en-GB"/>
        </w:rPr>
        <w:t>O</w:t>
      </w:r>
      <w:r w:rsidR="00482C00" w:rsidRPr="00440567">
        <w:rPr>
          <w:rFonts w:cstheme="minorHAnsi"/>
          <w:lang w:val="en-GB"/>
        </w:rPr>
        <w:t>n the other hand, the collective purchasing throu</w:t>
      </w:r>
      <w:r w:rsidR="003B6BA3">
        <w:rPr>
          <w:rFonts w:cstheme="minorHAnsi"/>
          <w:lang w:val="en-GB"/>
        </w:rPr>
        <w:t>gh s</w:t>
      </w:r>
      <w:r w:rsidR="00482C00" w:rsidRPr="00440567">
        <w:rPr>
          <w:rFonts w:cstheme="minorHAnsi"/>
          <w:lang w:val="en-GB"/>
        </w:rPr>
        <w:t>upercentrals</w:t>
      </w:r>
      <w:r w:rsidR="00814D6D" w:rsidRPr="00440567">
        <w:rPr>
          <w:rFonts w:cstheme="minorHAnsi"/>
          <w:lang w:val="en-GB"/>
        </w:rPr>
        <w:t xml:space="preserve"> tend to strangle agricultural food producers, who are forced to abide by the requests of the GDO (e.g. verbal </w:t>
      </w:r>
      <w:r w:rsidR="00814D6D" w:rsidRPr="00440567">
        <w:rPr>
          <w:rFonts w:cstheme="minorHAnsi"/>
          <w:lang w:val="en-GB"/>
        </w:rPr>
        <w:lastRenderedPageBreak/>
        <w:t>or obscure contracts, unilateral change to the contracts) for not incurring in delisting o retaliation practices (</w:t>
      </w:r>
      <w:r w:rsidR="008A5132">
        <w:rPr>
          <w:rFonts w:cstheme="minorHAnsi"/>
          <w:lang w:val="en-GB"/>
        </w:rPr>
        <w:t xml:space="preserve">see the report by the antitrust authority: </w:t>
      </w:r>
      <w:r w:rsidR="00814D6D" w:rsidRPr="00440567">
        <w:rPr>
          <w:rFonts w:cstheme="minorHAnsi"/>
          <w:lang w:val="en-GB"/>
        </w:rPr>
        <w:t xml:space="preserve">AGCM, 2013). </w:t>
      </w:r>
    </w:p>
    <w:p w14:paraId="0D792FE0" w14:textId="57E86375" w:rsidR="00485935" w:rsidRDefault="00533C14" w:rsidP="00485935">
      <w:pPr>
        <w:pStyle w:val="Paragrafoelenco"/>
        <w:numPr>
          <w:ilvl w:val="0"/>
          <w:numId w:val="1"/>
        </w:numPr>
        <w:spacing w:before="60" w:after="60"/>
        <w:ind w:left="284" w:hanging="284"/>
        <w:jc w:val="both"/>
        <w:rPr>
          <w:rFonts w:cstheme="minorHAnsi"/>
          <w:lang w:val="en-GB"/>
        </w:rPr>
      </w:pPr>
      <w:r w:rsidRPr="00440567">
        <w:rPr>
          <w:rFonts w:cstheme="minorHAnsi"/>
          <w:b/>
          <w:lang w:val="en-GB"/>
        </w:rPr>
        <w:t>CDS</w:t>
      </w:r>
      <w:r w:rsidR="00B938D6" w:rsidRPr="00440567">
        <w:rPr>
          <w:rFonts w:cstheme="minorHAnsi"/>
          <w:b/>
          <w:lang w:val="en-GB"/>
        </w:rPr>
        <w:t xml:space="preserve">: </w:t>
      </w:r>
      <w:r w:rsidR="004F72E5">
        <w:rPr>
          <w:rFonts w:cstheme="minorHAnsi"/>
          <w:lang w:val="en-GB"/>
        </w:rPr>
        <w:t>The</w:t>
      </w:r>
      <w:r w:rsidR="00F06A15" w:rsidRPr="00440567">
        <w:rPr>
          <w:rFonts w:cstheme="minorHAnsi"/>
          <w:lang w:val="en-GB"/>
        </w:rPr>
        <w:t xml:space="preserve"> market share of traditional shops</w:t>
      </w:r>
      <w:r w:rsidR="000538D3" w:rsidRPr="00440567">
        <w:rPr>
          <w:rFonts w:cstheme="minorHAnsi"/>
          <w:lang w:val="en-GB"/>
        </w:rPr>
        <w:t xml:space="preserve"> (16.3%)</w:t>
      </w:r>
      <w:r w:rsidR="00F06A15" w:rsidRPr="00440567">
        <w:rPr>
          <w:rFonts w:cstheme="minorHAnsi"/>
          <w:lang w:val="en-GB"/>
        </w:rPr>
        <w:t xml:space="preserve"> </w:t>
      </w:r>
      <w:r w:rsidR="000538D3" w:rsidRPr="00440567">
        <w:rPr>
          <w:rFonts w:cstheme="minorHAnsi"/>
          <w:lang w:val="en-GB"/>
        </w:rPr>
        <w:t xml:space="preserve">and street sellers (10.2%) </w:t>
      </w:r>
      <w:r w:rsidR="00F06A15" w:rsidRPr="00440567">
        <w:rPr>
          <w:rFonts w:cstheme="minorHAnsi"/>
          <w:lang w:val="en-GB"/>
        </w:rPr>
        <w:t>is higher in Italy than in other countries.</w:t>
      </w:r>
      <w:r w:rsidR="000836CD" w:rsidRPr="00440567">
        <w:rPr>
          <w:rFonts w:cstheme="minorHAnsi"/>
          <w:lang w:val="en-GB"/>
        </w:rPr>
        <w:t xml:space="preserve"> This is indeed </w:t>
      </w:r>
      <w:r w:rsidR="004F72E5">
        <w:rPr>
          <w:rFonts w:cstheme="minorHAnsi"/>
          <w:lang w:val="en-GB"/>
        </w:rPr>
        <w:t>confirmed</w:t>
      </w:r>
      <w:r w:rsidR="000836CD" w:rsidRPr="00440567">
        <w:rPr>
          <w:rFonts w:cstheme="minorHAnsi"/>
          <w:lang w:val="en-GB"/>
        </w:rPr>
        <w:t xml:space="preserve"> by</w:t>
      </w:r>
      <w:r w:rsidR="00F06A15" w:rsidRPr="00440567">
        <w:rPr>
          <w:rFonts w:cstheme="minorHAnsi"/>
          <w:lang w:val="en-GB"/>
        </w:rPr>
        <w:t xml:space="preserve"> </w:t>
      </w:r>
      <w:r w:rsidR="000836CD" w:rsidRPr="00440567">
        <w:rPr>
          <w:rFonts w:cstheme="minorHAnsi"/>
          <w:lang w:val="en-GB"/>
        </w:rPr>
        <w:t>t</w:t>
      </w:r>
      <w:r w:rsidR="00F06A15" w:rsidRPr="00440567">
        <w:rPr>
          <w:rFonts w:cstheme="minorHAnsi"/>
          <w:lang w:val="en-GB"/>
        </w:rPr>
        <w:t xml:space="preserve">he </w:t>
      </w:r>
      <w:r w:rsidR="004F72E5">
        <w:rPr>
          <w:rFonts w:cstheme="minorHAnsi"/>
          <w:lang w:val="en-GB"/>
        </w:rPr>
        <w:t xml:space="preserve">low concentration of the sector: </w:t>
      </w:r>
      <w:r w:rsidR="00F06A15" w:rsidRPr="00440567">
        <w:rPr>
          <w:rFonts w:cstheme="minorHAnsi"/>
          <w:lang w:val="en-GB"/>
        </w:rPr>
        <w:t>the first 3 GDO companies</w:t>
      </w:r>
      <w:r w:rsidR="000836CD" w:rsidRPr="00440567">
        <w:rPr>
          <w:rFonts w:cstheme="minorHAnsi"/>
          <w:lang w:val="en-GB"/>
        </w:rPr>
        <w:t xml:space="preserve"> in Italy </w:t>
      </w:r>
      <w:r w:rsidR="004F72E5">
        <w:rPr>
          <w:rFonts w:cstheme="minorHAnsi"/>
          <w:lang w:val="en-GB"/>
        </w:rPr>
        <w:t xml:space="preserve">share </w:t>
      </w:r>
      <w:r w:rsidR="0067695E" w:rsidRPr="00440567">
        <w:rPr>
          <w:rFonts w:cstheme="minorHAnsi"/>
          <w:lang w:val="en-GB"/>
        </w:rPr>
        <w:t>around 36,1%</w:t>
      </w:r>
      <w:r w:rsidR="004F72E5">
        <w:rPr>
          <w:rFonts w:cstheme="minorHAnsi"/>
          <w:lang w:val="en-GB"/>
        </w:rPr>
        <w:t xml:space="preserve"> of the market</w:t>
      </w:r>
      <w:r w:rsidR="0067695E" w:rsidRPr="00440567">
        <w:rPr>
          <w:rFonts w:cstheme="minorHAnsi"/>
          <w:lang w:val="en-GB"/>
        </w:rPr>
        <w:t>, compared to 61% in the UK, 61% in Germany 54</w:t>
      </w:r>
      <w:r w:rsidR="00F06A15" w:rsidRPr="00440567">
        <w:rPr>
          <w:rFonts w:cstheme="minorHAnsi"/>
          <w:lang w:val="en-GB"/>
        </w:rPr>
        <w:t xml:space="preserve">% </w:t>
      </w:r>
      <w:r w:rsidR="0067695E" w:rsidRPr="00440567">
        <w:rPr>
          <w:rFonts w:cstheme="minorHAnsi"/>
          <w:lang w:val="en-GB"/>
        </w:rPr>
        <w:t xml:space="preserve">in Spain and 53% in </w:t>
      </w:r>
      <w:r w:rsidR="00F06A15" w:rsidRPr="00440567">
        <w:rPr>
          <w:rFonts w:cstheme="minorHAnsi"/>
          <w:lang w:val="en-GB"/>
        </w:rPr>
        <w:t>France.</w:t>
      </w:r>
      <w:r w:rsidR="00D5748F">
        <w:rPr>
          <w:rFonts w:cstheme="minorHAnsi"/>
          <w:lang w:val="en-GB"/>
        </w:rPr>
        <w:t xml:space="preserve"> (Pellegrini &amp; Zanderighi, 2013).</w:t>
      </w:r>
      <w:r w:rsidRPr="00440567">
        <w:rPr>
          <w:rFonts w:cstheme="minorHAnsi"/>
          <w:lang w:val="en-GB"/>
        </w:rPr>
        <w:t xml:space="preserve"> With the term CDS</w:t>
      </w:r>
      <w:r w:rsidR="005E73CC" w:rsidRPr="00440567">
        <w:rPr>
          <w:rFonts w:cstheme="minorHAnsi"/>
          <w:lang w:val="en-GB"/>
        </w:rPr>
        <w:t xml:space="preserve"> we identify all those traditional food shops that are not associated with a GDO brand, although they might be selling in stores between 100 to 800 squared meters.</w:t>
      </w:r>
      <w:r w:rsidR="00341364" w:rsidRPr="00440567">
        <w:rPr>
          <w:rFonts w:cstheme="minorHAnsi"/>
          <w:lang w:val="en-GB"/>
        </w:rPr>
        <w:t xml:space="preserve"> Differently from the GDO, they personally take care of the store supply, at most relying on consortiums or small franchises. </w:t>
      </w:r>
      <w:r w:rsidR="00651D57" w:rsidRPr="00485935">
        <w:rPr>
          <w:rFonts w:cstheme="minorHAnsi"/>
          <w:lang w:val="en-GB"/>
        </w:rPr>
        <w:t>T</w:t>
      </w:r>
      <w:r w:rsidR="00F06A15" w:rsidRPr="00485935">
        <w:rPr>
          <w:rFonts w:cstheme="minorHAnsi"/>
          <w:lang w:val="en-GB"/>
        </w:rPr>
        <w:t>h</w:t>
      </w:r>
      <w:r w:rsidR="00651D57" w:rsidRPr="00485935">
        <w:rPr>
          <w:rFonts w:cstheme="minorHAnsi"/>
          <w:lang w:val="en-GB"/>
        </w:rPr>
        <w:t xml:space="preserve">e progressive decrease of small, family-owned, </w:t>
      </w:r>
      <w:r w:rsidR="00341364" w:rsidRPr="00485935">
        <w:rPr>
          <w:rFonts w:cstheme="minorHAnsi"/>
          <w:lang w:val="en-GB"/>
        </w:rPr>
        <w:t>businesses</w:t>
      </w:r>
      <w:r w:rsidR="00651D57" w:rsidRPr="00485935">
        <w:rPr>
          <w:rFonts w:cstheme="minorHAnsi"/>
          <w:lang w:val="en-GB"/>
        </w:rPr>
        <w:t xml:space="preserve"> did not undermine the</w:t>
      </w:r>
      <w:r w:rsidR="007C4FE8" w:rsidRPr="00485935">
        <w:rPr>
          <w:rFonts w:cstheme="minorHAnsi"/>
          <w:lang w:val="en-GB"/>
        </w:rPr>
        <w:t xml:space="preserve">ir </w:t>
      </w:r>
      <w:r w:rsidR="00651D57" w:rsidRPr="00485935">
        <w:rPr>
          <w:rFonts w:cstheme="minorHAnsi"/>
          <w:lang w:val="en-GB"/>
        </w:rPr>
        <w:t xml:space="preserve">existence </w:t>
      </w:r>
      <w:r w:rsidR="00EB7D9B" w:rsidRPr="00485935">
        <w:rPr>
          <w:rFonts w:cstheme="minorHAnsi"/>
          <w:lang w:val="en-GB"/>
        </w:rPr>
        <w:t>and today</w:t>
      </w:r>
      <w:r w:rsidR="004677B6" w:rsidRPr="00485935">
        <w:rPr>
          <w:rFonts w:cstheme="minorHAnsi"/>
          <w:lang w:val="en-GB"/>
        </w:rPr>
        <w:t xml:space="preserve"> they </w:t>
      </w:r>
      <w:r w:rsidR="00651D57" w:rsidRPr="00485935">
        <w:rPr>
          <w:rFonts w:cstheme="minorHAnsi"/>
          <w:lang w:val="en-GB"/>
        </w:rPr>
        <w:t xml:space="preserve">are still diffuse. </w:t>
      </w:r>
      <w:r w:rsidR="00341364" w:rsidRPr="00485935">
        <w:rPr>
          <w:rFonts w:cstheme="minorHAnsi"/>
          <w:lang w:val="en-GB"/>
        </w:rPr>
        <w:t>Furthermore, m</w:t>
      </w:r>
      <w:r w:rsidRPr="00485935">
        <w:rPr>
          <w:rFonts w:cstheme="minorHAnsi"/>
          <w:lang w:val="en-GB"/>
        </w:rPr>
        <w:t>any CD</w:t>
      </w:r>
      <w:r w:rsidR="00651D57" w:rsidRPr="00485935">
        <w:rPr>
          <w:rFonts w:cstheme="minorHAnsi"/>
          <w:lang w:val="en-GB"/>
        </w:rPr>
        <w:t>S demonstrated a high resilience, and converted from single-product shops to de-specialised stores</w:t>
      </w:r>
      <w:r w:rsidR="000836CD" w:rsidRPr="00485935">
        <w:rPr>
          <w:rFonts w:cstheme="minorHAnsi"/>
          <w:lang w:val="en-GB"/>
        </w:rPr>
        <w:t xml:space="preserve">: for instance, </w:t>
      </w:r>
      <w:r w:rsidR="005E73CC" w:rsidRPr="00485935">
        <w:rPr>
          <w:rFonts w:cstheme="minorHAnsi"/>
          <w:lang w:val="en-GB"/>
        </w:rPr>
        <w:t>bakers started to sell sandwiches, and butchers to cook meat</w:t>
      </w:r>
      <w:r w:rsidR="000836CD" w:rsidRPr="00485935">
        <w:rPr>
          <w:rFonts w:cstheme="minorHAnsi"/>
          <w:lang w:val="en-GB"/>
        </w:rPr>
        <w:t xml:space="preserve"> </w:t>
      </w:r>
      <w:r w:rsidR="00651D57" w:rsidRPr="00485935">
        <w:rPr>
          <w:rFonts w:cstheme="minorHAnsi"/>
          <w:lang w:val="en-GB"/>
        </w:rPr>
        <w:t>(Pellegrini and Zanderighi, 2011).</w:t>
      </w:r>
      <w:r w:rsidR="004677B6" w:rsidRPr="00485935">
        <w:rPr>
          <w:rFonts w:cstheme="minorHAnsi"/>
          <w:lang w:val="en-GB"/>
        </w:rPr>
        <w:t xml:space="preserve"> In addition, CDS benefited from the opening of many ethnic food shops by immigrants resembling the characteristics of the Italian CDS.</w:t>
      </w:r>
      <w:r w:rsidR="00651D57" w:rsidRPr="00485935">
        <w:rPr>
          <w:rFonts w:cstheme="minorHAnsi"/>
          <w:lang w:val="en-GB"/>
        </w:rPr>
        <w:t xml:space="preserve"> This peculiar characteristic of the Italian food distribution system mirrors the historical tradition of the Italian petit bourgeoisie</w:t>
      </w:r>
      <w:r w:rsidR="00EB7D9B" w:rsidRPr="00485935">
        <w:rPr>
          <w:rFonts w:cstheme="minorHAnsi"/>
          <w:lang w:val="en-GB"/>
        </w:rPr>
        <w:t xml:space="preserve"> - </w:t>
      </w:r>
      <w:r w:rsidR="00651D57" w:rsidRPr="00485935">
        <w:rPr>
          <w:rFonts w:cstheme="minorHAnsi"/>
          <w:lang w:val="en-GB"/>
        </w:rPr>
        <w:t>small enterprises and autonomous workers constitute 21.5% of the total workforce</w:t>
      </w:r>
      <w:r w:rsidR="00795D96" w:rsidRPr="00485935">
        <w:rPr>
          <w:rFonts w:cstheme="minorHAnsi"/>
          <w:lang w:val="en-GB"/>
        </w:rPr>
        <w:t>, well above the European average</w:t>
      </w:r>
      <w:r w:rsidR="00F14651" w:rsidRPr="00485935">
        <w:rPr>
          <w:rFonts w:cstheme="minorHAnsi"/>
          <w:lang w:val="en-GB"/>
        </w:rPr>
        <w:t xml:space="preserve"> (</w:t>
      </w:r>
      <w:r w:rsidR="00805FF2" w:rsidRPr="00485935">
        <w:rPr>
          <w:rFonts w:cstheme="minorHAnsi"/>
          <w:lang w:val="en-GB"/>
        </w:rPr>
        <w:t>Muller et al.</w:t>
      </w:r>
      <w:r w:rsidR="00956DCD" w:rsidRPr="00485935">
        <w:rPr>
          <w:rFonts w:cstheme="minorHAnsi"/>
          <w:lang w:val="en-GB"/>
        </w:rPr>
        <w:t>, 2017</w:t>
      </w:r>
      <w:r w:rsidR="00651D57" w:rsidRPr="00485935">
        <w:rPr>
          <w:rFonts w:cstheme="minorHAnsi"/>
          <w:lang w:val="en-GB"/>
        </w:rPr>
        <w:t>)</w:t>
      </w:r>
      <w:r w:rsidR="00F14651" w:rsidRPr="00485935">
        <w:rPr>
          <w:rFonts w:cstheme="minorHAnsi"/>
          <w:lang w:val="en-GB"/>
        </w:rPr>
        <w:t>. The “Borgeoisie Proletariat” (Maida, 2009)</w:t>
      </w:r>
      <w:r w:rsidR="000836CD" w:rsidRPr="00485935">
        <w:rPr>
          <w:rFonts w:cstheme="minorHAnsi"/>
          <w:lang w:val="en-GB"/>
        </w:rPr>
        <w:t xml:space="preserve"> threatened by the dawn of the supermarket in the 60s and by the consolidation of the GDO after the 1998, seems </w:t>
      </w:r>
      <w:r w:rsidR="005E73CC" w:rsidRPr="00485935">
        <w:rPr>
          <w:rFonts w:cstheme="minorHAnsi"/>
          <w:lang w:val="en-GB"/>
        </w:rPr>
        <w:t xml:space="preserve">thus </w:t>
      </w:r>
      <w:r w:rsidR="000836CD" w:rsidRPr="00485935">
        <w:rPr>
          <w:rFonts w:cstheme="minorHAnsi"/>
          <w:lang w:val="en-GB"/>
        </w:rPr>
        <w:t xml:space="preserve">able to </w:t>
      </w:r>
      <w:r w:rsidRPr="00485935">
        <w:rPr>
          <w:rFonts w:cstheme="minorHAnsi"/>
          <w:lang w:val="en-GB"/>
        </w:rPr>
        <w:t>adapt</w:t>
      </w:r>
      <w:r w:rsidR="005E73CC" w:rsidRPr="00485935">
        <w:rPr>
          <w:rFonts w:cstheme="minorHAnsi"/>
          <w:lang w:val="en-GB"/>
        </w:rPr>
        <w:t xml:space="preserve"> the </w:t>
      </w:r>
      <w:r w:rsidRPr="00485935">
        <w:rPr>
          <w:rFonts w:cstheme="minorHAnsi"/>
          <w:lang w:val="en-GB"/>
        </w:rPr>
        <w:t xml:space="preserve">economic </w:t>
      </w:r>
      <w:r w:rsidR="005E73CC" w:rsidRPr="00485935">
        <w:rPr>
          <w:rFonts w:cstheme="minorHAnsi"/>
          <w:lang w:val="en-GB"/>
        </w:rPr>
        <w:t>evolutio</w:t>
      </w:r>
      <w:r w:rsidR="00EB7D9B" w:rsidRPr="00485935">
        <w:rPr>
          <w:rFonts w:cstheme="minorHAnsi"/>
          <w:lang w:val="en-GB"/>
        </w:rPr>
        <w:t xml:space="preserve">n of the sector. </w:t>
      </w:r>
      <w:r w:rsidR="00341364" w:rsidRPr="00485935">
        <w:rPr>
          <w:rFonts w:cstheme="minorHAnsi"/>
          <w:lang w:val="en-GB"/>
        </w:rPr>
        <w:t xml:space="preserve"> </w:t>
      </w:r>
      <w:r w:rsidR="005E73CC" w:rsidRPr="00485935">
        <w:rPr>
          <w:rFonts w:cstheme="minorHAnsi"/>
          <w:lang w:val="en-GB"/>
        </w:rPr>
        <w:t xml:space="preserve"> </w:t>
      </w:r>
      <w:r w:rsidR="00485935" w:rsidRPr="00485935">
        <w:rPr>
          <w:rFonts w:cstheme="minorHAnsi"/>
          <w:lang w:val="en-GB"/>
        </w:rPr>
        <w:t xml:space="preserve"> </w:t>
      </w:r>
    </w:p>
    <w:p w14:paraId="4CC8F281" w14:textId="2FE27DA6" w:rsidR="00601C4A" w:rsidRDefault="004677B6" w:rsidP="00485935">
      <w:pPr>
        <w:pStyle w:val="Paragrafoelenco"/>
        <w:numPr>
          <w:ilvl w:val="0"/>
          <w:numId w:val="1"/>
        </w:numPr>
        <w:spacing w:before="60" w:after="60"/>
        <w:ind w:left="284" w:hanging="284"/>
        <w:jc w:val="both"/>
        <w:rPr>
          <w:rFonts w:cstheme="minorHAnsi"/>
          <w:lang w:val="en-GB"/>
        </w:rPr>
      </w:pPr>
      <w:r w:rsidRPr="00485935">
        <w:rPr>
          <w:rFonts w:cstheme="minorHAnsi"/>
          <w:b/>
          <w:lang w:val="en-GB"/>
        </w:rPr>
        <w:t xml:space="preserve">AFN: </w:t>
      </w:r>
      <w:r w:rsidR="00EB7D9B" w:rsidRPr="00485935">
        <w:rPr>
          <w:rFonts w:cstheme="minorHAnsi"/>
          <w:lang w:val="en-GB"/>
        </w:rPr>
        <w:t>The emergence of a new consumer awareness on the negative impact of global food chains in terms of nutritional wellbeing and environmental sustainability has been accompanied by the rise and diffusion of short food chains and local food systems</w:t>
      </w:r>
      <w:r w:rsidR="00AD57C5" w:rsidRPr="00485935">
        <w:rPr>
          <w:rFonts w:cstheme="minorHAnsi"/>
          <w:lang w:val="en-GB"/>
        </w:rPr>
        <w:t xml:space="preserve"> (Graziano &amp; Forno, 2012; Forno &amp; Graziano, 2014)</w:t>
      </w:r>
      <w:r w:rsidR="00EB7D9B" w:rsidRPr="00485935">
        <w:rPr>
          <w:rFonts w:cstheme="minorHAnsi"/>
          <w:lang w:val="en-GB"/>
        </w:rPr>
        <w:t xml:space="preserve">. Despite research on the sustainability performance has not </w:t>
      </w:r>
      <w:r w:rsidR="002B3974" w:rsidRPr="00485935">
        <w:rPr>
          <w:rFonts w:cstheme="minorHAnsi"/>
          <w:lang w:val="en-GB"/>
        </w:rPr>
        <w:t xml:space="preserve">yet </w:t>
      </w:r>
      <w:r w:rsidR="00EB7D9B" w:rsidRPr="00485935">
        <w:rPr>
          <w:rFonts w:cstheme="minorHAnsi"/>
          <w:lang w:val="en-GB"/>
        </w:rPr>
        <w:t>reached consensus from the scientific community</w:t>
      </w:r>
      <w:r w:rsidR="00956DCD" w:rsidRPr="00485935">
        <w:rPr>
          <w:rFonts w:cstheme="minorHAnsi"/>
          <w:lang w:val="en-GB"/>
        </w:rPr>
        <w:t xml:space="preserve"> (Brunori et al., 2016</w:t>
      </w:r>
      <w:r w:rsidR="002B3974" w:rsidRPr="00485935">
        <w:rPr>
          <w:rFonts w:cstheme="minorHAnsi"/>
          <w:lang w:val="en-GB"/>
        </w:rPr>
        <w:t>)</w:t>
      </w:r>
      <w:r w:rsidR="00EB7D9B" w:rsidRPr="00485935">
        <w:rPr>
          <w:rFonts w:cstheme="minorHAnsi"/>
          <w:lang w:val="en-GB"/>
        </w:rPr>
        <w:t>, business, citizens and policy initiatives have intertwined and generate</w:t>
      </w:r>
      <w:r w:rsidR="002B3974" w:rsidRPr="00485935">
        <w:rPr>
          <w:rFonts w:cstheme="minorHAnsi"/>
          <w:lang w:val="en-GB"/>
        </w:rPr>
        <w:t>d</w:t>
      </w:r>
      <w:r w:rsidR="00EB7D9B" w:rsidRPr="00485935">
        <w:rPr>
          <w:rFonts w:cstheme="minorHAnsi"/>
          <w:lang w:val="en-GB"/>
        </w:rPr>
        <w:t xml:space="preserve"> a new </w:t>
      </w:r>
      <w:r w:rsidR="00533C14" w:rsidRPr="00485935">
        <w:rPr>
          <w:rFonts w:cstheme="minorHAnsi"/>
          <w:lang w:val="en-GB"/>
        </w:rPr>
        <w:t xml:space="preserve">liminal </w:t>
      </w:r>
      <w:r w:rsidR="00EB7D9B" w:rsidRPr="00485935">
        <w:rPr>
          <w:rFonts w:cstheme="minorHAnsi"/>
          <w:lang w:val="en-GB"/>
        </w:rPr>
        <w:t xml:space="preserve">food distribution system alternative to both the GDO and the CDSF. </w:t>
      </w:r>
      <w:r w:rsidR="00D66A1E" w:rsidRPr="00485935">
        <w:rPr>
          <w:rFonts w:cstheme="minorHAnsi"/>
          <w:lang w:val="en-GB"/>
        </w:rPr>
        <w:t>As we will show,</w:t>
      </w:r>
      <w:r w:rsidR="002B3974" w:rsidRPr="00485935">
        <w:rPr>
          <w:rFonts w:cstheme="minorHAnsi"/>
          <w:lang w:val="en-GB"/>
        </w:rPr>
        <w:t xml:space="preserve"> AFN</w:t>
      </w:r>
      <w:r w:rsidR="001A54E3" w:rsidRPr="00485935">
        <w:rPr>
          <w:rFonts w:cstheme="minorHAnsi"/>
          <w:lang w:val="en-GB"/>
        </w:rPr>
        <w:t xml:space="preserve"> in Italy</w:t>
      </w:r>
      <w:r w:rsidR="002B3974" w:rsidRPr="00485935">
        <w:rPr>
          <w:rFonts w:cstheme="minorHAnsi"/>
          <w:lang w:val="en-GB"/>
        </w:rPr>
        <w:t xml:space="preserve"> take different forms,</w:t>
      </w:r>
      <w:r w:rsidR="00D66A1E" w:rsidRPr="00485935">
        <w:rPr>
          <w:rFonts w:cstheme="minorHAnsi"/>
          <w:lang w:val="en-GB"/>
        </w:rPr>
        <w:t xml:space="preserve"> but</w:t>
      </w:r>
      <w:r w:rsidR="002B3974" w:rsidRPr="00485935">
        <w:rPr>
          <w:rFonts w:cstheme="minorHAnsi"/>
          <w:lang w:val="en-GB"/>
        </w:rPr>
        <w:t xml:space="preserve"> they all share common characteristics</w:t>
      </w:r>
      <w:r w:rsidR="00956DCD" w:rsidRPr="00485935">
        <w:rPr>
          <w:rFonts w:cstheme="minorHAnsi"/>
          <w:lang w:val="en-GB"/>
        </w:rPr>
        <w:t xml:space="preserve"> (Jarosz, 2008; </w:t>
      </w:r>
      <w:r w:rsidR="000D15FB" w:rsidRPr="00485935">
        <w:rPr>
          <w:rFonts w:cstheme="minorHAnsi"/>
          <w:lang w:val="en-GB"/>
        </w:rPr>
        <w:t>Blasi et al.</w:t>
      </w:r>
      <w:r w:rsidR="00956DCD" w:rsidRPr="00485935">
        <w:rPr>
          <w:rFonts w:cstheme="minorHAnsi"/>
          <w:lang w:val="en-GB"/>
        </w:rPr>
        <w:t xml:space="preserve"> 2015</w:t>
      </w:r>
      <w:r w:rsidR="000D15FB" w:rsidRPr="00485935">
        <w:rPr>
          <w:rFonts w:cstheme="minorHAnsi"/>
          <w:lang w:val="en-GB"/>
        </w:rPr>
        <w:t>)</w:t>
      </w:r>
      <w:r w:rsidR="00D66A1E" w:rsidRPr="00485935">
        <w:rPr>
          <w:rFonts w:cstheme="minorHAnsi"/>
          <w:lang w:val="en-GB"/>
        </w:rPr>
        <w:t>.</w:t>
      </w:r>
      <w:r w:rsidR="002B3974" w:rsidRPr="00485935">
        <w:rPr>
          <w:rFonts w:cstheme="minorHAnsi"/>
          <w:lang w:val="en-GB"/>
        </w:rPr>
        <w:t xml:space="preserve"> </w:t>
      </w:r>
      <w:r w:rsidR="00D66A1E" w:rsidRPr="00485935">
        <w:rPr>
          <w:rFonts w:cstheme="minorHAnsi"/>
          <w:lang w:val="en-GB"/>
        </w:rPr>
        <w:t>F</w:t>
      </w:r>
      <w:r w:rsidR="002B3974" w:rsidRPr="00485935">
        <w:rPr>
          <w:rFonts w:cstheme="minorHAnsi"/>
          <w:lang w:val="en-GB"/>
        </w:rPr>
        <w:t>irst, an element of sense-making against the commodification of food, and therefore against GDO and CDSF</w:t>
      </w:r>
      <w:r w:rsidR="000D15FB" w:rsidRPr="00485935">
        <w:rPr>
          <w:rFonts w:cstheme="minorHAnsi"/>
          <w:lang w:val="en-GB"/>
        </w:rPr>
        <w:t xml:space="preserve"> (</w:t>
      </w:r>
      <w:r w:rsidR="000D15FB" w:rsidRPr="00485935">
        <w:rPr>
          <w:rFonts w:cstheme="minorHAnsi"/>
          <w:i/>
          <w:lang w:val="en-GB"/>
        </w:rPr>
        <w:t>ethicality</w:t>
      </w:r>
      <w:r w:rsidR="000D15FB" w:rsidRPr="00485935">
        <w:rPr>
          <w:rFonts w:cstheme="minorHAnsi"/>
          <w:lang w:val="en-GB"/>
        </w:rPr>
        <w:t>).</w:t>
      </w:r>
      <w:r w:rsidR="00D66A1E" w:rsidRPr="00485935">
        <w:rPr>
          <w:rFonts w:cstheme="minorHAnsi"/>
          <w:lang w:val="en-GB"/>
        </w:rPr>
        <w:t xml:space="preserve"> </w:t>
      </w:r>
      <w:r w:rsidR="000D15FB" w:rsidRPr="00485935">
        <w:rPr>
          <w:rFonts w:cstheme="minorHAnsi"/>
          <w:lang w:val="en-GB"/>
        </w:rPr>
        <w:t>S</w:t>
      </w:r>
      <w:r w:rsidR="00D66A1E" w:rsidRPr="00485935">
        <w:rPr>
          <w:rFonts w:cstheme="minorHAnsi"/>
          <w:lang w:val="en-GB"/>
        </w:rPr>
        <w:t>econd, the short, and sometimes absent, distanc</w:t>
      </w:r>
      <w:r w:rsidR="000D15FB" w:rsidRPr="00485935">
        <w:rPr>
          <w:rFonts w:cstheme="minorHAnsi"/>
          <w:lang w:val="en-GB"/>
        </w:rPr>
        <w:t>e between producer and consumer (</w:t>
      </w:r>
      <w:r w:rsidR="000D15FB" w:rsidRPr="00485935">
        <w:rPr>
          <w:rFonts w:cstheme="minorHAnsi"/>
          <w:i/>
          <w:lang w:val="en-GB"/>
        </w:rPr>
        <w:t>proximity</w:t>
      </w:r>
      <w:r w:rsidR="000D15FB" w:rsidRPr="00485935">
        <w:rPr>
          <w:rFonts w:cstheme="minorHAnsi"/>
          <w:lang w:val="en-GB"/>
        </w:rPr>
        <w:t>).</w:t>
      </w:r>
      <w:r w:rsidR="00D66A1E" w:rsidRPr="00485935">
        <w:rPr>
          <w:rFonts w:cstheme="minorHAnsi"/>
          <w:lang w:val="en-GB"/>
        </w:rPr>
        <w:t xml:space="preserve"> </w:t>
      </w:r>
      <w:r w:rsidR="000D15FB" w:rsidRPr="00485935">
        <w:rPr>
          <w:rFonts w:cstheme="minorHAnsi"/>
          <w:lang w:val="en-GB"/>
        </w:rPr>
        <w:t>T</w:t>
      </w:r>
      <w:r w:rsidR="00D66A1E" w:rsidRPr="00485935">
        <w:rPr>
          <w:rFonts w:cstheme="minorHAnsi"/>
          <w:lang w:val="en-GB"/>
        </w:rPr>
        <w:t>hird, the involvement of small farms that favour ethical and responsible forms of food production</w:t>
      </w:r>
      <w:r w:rsidR="000D15FB" w:rsidRPr="00485935">
        <w:rPr>
          <w:rFonts w:cstheme="minorHAnsi"/>
          <w:lang w:val="en-GB"/>
        </w:rPr>
        <w:t xml:space="preserve"> (</w:t>
      </w:r>
      <w:r w:rsidR="000D15FB" w:rsidRPr="00485935">
        <w:rPr>
          <w:rFonts w:cstheme="minorHAnsi"/>
          <w:i/>
          <w:lang w:val="en-GB"/>
        </w:rPr>
        <w:t>responsibility</w:t>
      </w:r>
      <w:r w:rsidR="000D15FB" w:rsidRPr="00485935">
        <w:rPr>
          <w:rFonts w:cstheme="minorHAnsi"/>
          <w:lang w:val="en-GB"/>
        </w:rPr>
        <w:t>).</w:t>
      </w:r>
      <w:r w:rsidR="00D66A1E" w:rsidRPr="00485935">
        <w:rPr>
          <w:rFonts w:cstheme="minorHAnsi"/>
          <w:lang w:val="en-GB"/>
        </w:rPr>
        <w:t xml:space="preserve"> </w:t>
      </w:r>
      <w:r w:rsidR="000D15FB" w:rsidRPr="00485935">
        <w:rPr>
          <w:rFonts w:cstheme="minorHAnsi"/>
          <w:lang w:val="en-GB"/>
        </w:rPr>
        <w:t>F</w:t>
      </w:r>
      <w:r w:rsidR="00D66A1E" w:rsidRPr="00485935">
        <w:rPr>
          <w:rFonts w:cstheme="minorHAnsi"/>
          <w:lang w:val="en-GB"/>
        </w:rPr>
        <w:t>ourth, the gathering of producers and/or consumers around (tangible and intangible) purchasing venues</w:t>
      </w:r>
      <w:r w:rsidR="000D15FB" w:rsidRPr="00485935">
        <w:rPr>
          <w:rFonts w:cstheme="minorHAnsi"/>
          <w:lang w:val="en-GB"/>
        </w:rPr>
        <w:t xml:space="preserve"> (</w:t>
      </w:r>
      <w:r w:rsidR="000D15FB" w:rsidRPr="00485935">
        <w:rPr>
          <w:rFonts w:cstheme="minorHAnsi"/>
          <w:i/>
          <w:lang w:val="en-GB"/>
        </w:rPr>
        <w:t>participation</w:t>
      </w:r>
      <w:r w:rsidR="000D15FB" w:rsidRPr="00485935">
        <w:rPr>
          <w:rFonts w:cstheme="minorHAnsi"/>
          <w:lang w:val="en-GB"/>
        </w:rPr>
        <w:t>).</w:t>
      </w:r>
      <w:r w:rsidR="00D66A1E" w:rsidRPr="00485935">
        <w:rPr>
          <w:rFonts w:cstheme="minorHAnsi"/>
          <w:lang w:val="en-GB"/>
        </w:rPr>
        <w:t xml:space="preserve"> </w:t>
      </w:r>
      <w:r w:rsidR="000D15FB" w:rsidRPr="00485935">
        <w:rPr>
          <w:rFonts w:cstheme="minorHAnsi"/>
          <w:lang w:val="en-GB"/>
        </w:rPr>
        <w:t>F</w:t>
      </w:r>
      <w:r w:rsidR="00D66A1E" w:rsidRPr="00485935">
        <w:rPr>
          <w:rFonts w:cstheme="minorHAnsi"/>
          <w:lang w:val="en-GB"/>
        </w:rPr>
        <w:t xml:space="preserve">ifth, a vision of </w:t>
      </w:r>
      <w:r w:rsidR="00AB6C7F" w:rsidRPr="00485935">
        <w:rPr>
          <w:rFonts w:cstheme="minorHAnsi"/>
          <w:lang w:val="en-GB"/>
        </w:rPr>
        <w:t>grocery shopping</w:t>
      </w:r>
      <w:r w:rsidR="00D66A1E" w:rsidRPr="00485935">
        <w:rPr>
          <w:rFonts w:cstheme="minorHAnsi"/>
          <w:lang w:val="en-GB"/>
        </w:rPr>
        <w:t xml:space="preserve"> as a political action involving at once social, economic an environmental issues</w:t>
      </w:r>
      <w:r w:rsidR="000D15FB" w:rsidRPr="00485935">
        <w:rPr>
          <w:rFonts w:cstheme="minorHAnsi"/>
          <w:lang w:val="en-GB"/>
        </w:rPr>
        <w:t xml:space="preserve"> (political </w:t>
      </w:r>
      <w:r w:rsidR="000D15FB" w:rsidRPr="00485935">
        <w:rPr>
          <w:rFonts w:cstheme="minorHAnsi"/>
          <w:i/>
          <w:lang w:val="en-GB"/>
        </w:rPr>
        <w:t>awareness</w:t>
      </w:r>
      <w:r w:rsidR="000D15FB" w:rsidRPr="00485935">
        <w:rPr>
          <w:rFonts w:cstheme="minorHAnsi"/>
          <w:lang w:val="en-GB"/>
        </w:rPr>
        <w:t>)</w:t>
      </w:r>
      <w:r w:rsidR="00D66A1E" w:rsidRPr="00485935">
        <w:rPr>
          <w:rFonts w:cstheme="minorHAnsi"/>
          <w:lang w:val="en-GB"/>
        </w:rPr>
        <w:t xml:space="preserve">. </w:t>
      </w:r>
      <w:r w:rsidR="002B3974" w:rsidRPr="00485935">
        <w:rPr>
          <w:rFonts w:cstheme="minorHAnsi"/>
          <w:lang w:val="en-GB"/>
        </w:rPr>
        <w:t xml:space="preserve"> </w:t>
      </w:r>
      <w:r w:rsidR="00EB7D9B" w:rsidRPr="00485935">
        <w:rPr>
          <w:rFonts w:cstheme="minorHAnsi"/>
          <w:lang w:val="en-GB"/>
        </w:rPr>
        <w:t xml:space="preserve"> </w:t>
      </w:r>
    </w:p>
    <w:p w14:paraId="1EFB0B52" w14:textId="77777777" w:rsidR="008770F0" w:rsidRPr="00485935" w:rsidRDefault="008770F0" w:rsidP="008770F0">
      <w:pPr>
        <w:pStyle w:val="Paragrafoelenco"/>
        <w:spacing w:before="60" w:after="60"/>
        <w:ind w:left="284"/>
        <w:jc w:val="both"/>
        <w:rPr>
          <w:rFonts w:cstheme="minorHAnsi"/>
          <w:lang w:val="en-GB"/>
        </w:rPr>
      </w:pPr>
    </w:p>
    <w:p w14:paraId="1456319E" w14:textId="208CB50B" w:rsidR="00352A3D" w:rsidRPr="00F0062A" w:rsidRDefault="004677B6" w:rsidP="006013B3">
      <w:pPr>
        <w:pStyle w:val="Titolo3"/>
        <w:spacing w:before="60" w:after="60"/>
        <w:jc w:val="both"/>
        <w:rPr>
          <w:rFonts w:asciiTheme="minorHAnsi" w:hAnsiTheme="minorHAnsi" w:cstheme="minorHAnsi"/>
          <w:i/>
          <w:lang w:val="en-GB"/>
        </w:rPr>
      </w:pPr>
      <w:r w:rsidRPr="00F0062A">
        <w:rPr>
          <w:rFonts w:asciiTheme="minorHAnsi" w:hAnsiTheme="minorHAnsi" w:cstheme="minorHAnsi"/>
          <w:i/>
          <w:lang w:val="en-GB"/>
        </w:rPr>
        <w:t xml:space="preserve">2.2 </w:t>
      </w:r>
      <w:r w:rsidR="000D15FB" w:rsidRPr="00F0062A">
        <w:rPr>
          <w:rFonts w:asciiTheme="minorHAnsi" w:hAnsiTheme="minorHAnsi" w:cstheme="minorHAnsi"/>
          <w:i/>
          <w:lang w:val="en-GB"/>
        </w:rPr>
        <w:t xml:space="preserve">The conventional food distribution sector: key figures of the </w:t>
      </w:r>
      <w:r w:rsidR="007A6BC7" w:rsidRPr="00F0062A">
        <w:rPr>
          <w:rFonts w:asciiTheme="minorHAnsi" w:hAnsiTheme="minorHAnsi" w:cstheme="minorHAnsi"/>
          <w:i/>
          <w:lang w:val="en-GB"/>
        </w:rPr>
        <w:t>GDO and CDS</w:t>
      </w:r>
    </w:p>
    <w:p w14:paraId="5DCDFB07" w14:textId="4A40FD04" w:rsidR="007A6BC7" w:rsidRPr="00440567" w:rsidRDefault="003230D6" w:rsidP="008E2A80">
      <w:pPr>
        <w:pStyle w:val="Paragrafoelenco"/>
        <w:spacing w:before="60" w:after="60"/>
        <w:ind w:left="0"/>
        <w:jc w:val="both"/>
        <w:rPr>
          <w:rFonts w:cstheme="minorHAnsi"/>
          <w:lang w:val="en-GB"/>
        </w:rPr>
      </w:pPr>
      <w:r w:rsidRPr="00440567">
        <w:rPr>
          <w:rFonts w:cstheme="minorHAnsi"/>
          <w:lang w:val="en-GB"/>
        </w:rPr>
        <w:t xml:space="preserve">The food distribution sector has profoundly changed after the deregulation of 1998 and 2012. As suggested above, the liberalisation of the </w:t>
      </w:r>
      <w:r w:rsidR="0067695E" w:rsidRPr="00440567">
        <w:rPr>
          <w:rFonts w:cstheme="minorHAnsi"/>
          <w:lang w:val="en-GB"/>
        </w:rPr>
        <w:t xml:space="preserve">sector mainly benefited the GDO, although the Italian delay, compared to other European countries, slowed down the concentration of the sector. Some figures may help quantify this trend. </w:t>
      </w:r>
      <w:r w:rsidR="007A6BC7" w:rsidRPr="00440567">
        <w:rPr>
          <w:rFonts w:cstheme="minorHAnsi"/>
          <w:lang w:val="en-GB"/>
        </w:rPr>
        <w:t>First, Figure 3 and 4 clearly show the contraction of the CDS market</w:t>
      </w:r>
      <w:r w:rsidR="009D2EE4" w:rsidRPr="00440567">
        <w:rPr>
          <w:rFonts w:cstheme="minorHAnsi"/>
          <w:lang w:val="en-GB"/>
        </w:rPr>
        <w:t xml:space="preserve">. </w:t>
      </w:r>
      <w:r w:rsidR="007A6BC7" w:rsidRPr="00440567">
        <w:rPr>
          <w:rFonts w:cstheme="minorHAnsi"/>
          <w:lang w:val="en-GB"/>
        </w:rPr>
        <w:t xml:space="preserve">From 2000 to 2016, traditional food shops lost more than 10 percentage points of market share. During the same period, all GDO stores but minimarkets and superettes gained market share. Hypermarkets moved from 7.6% to 10.2%, supermarkets and superstores from 37.3% to 42.8%, Discounts from 6.2% to 12.8%. </w:t>
      </w:r>
    </w:p>
    <w:p w14:paraId="3457A854" w14:textId="77777777" w:rsidR="007A6BC7" w:rsidRPr="00440567" w:rsidRDefault="007A6BC7" w:rsidP="008E2A80">
      <w:pPr>
        <w:pStyle w:val="Paragrafoelenco"/>
        <w:spacing w:before="60" w:after="60"/>
        <w:ind w:left="0"/>
        <w:jc w:val="both"/>
        <w:rPr>
          <w:rFonts w:cstheme="minorHAnsi"/>
          <w:lang w:val="en-GB"/>
        </w:rPr>
      </w:pPr>
    </w:p>
    <w:p w14:paraId="17C969AF" w14:textId="77777777" w:rsidR="00956DCD" w:rsidRDefault="00187C1F" w:rsidP="00956DCD">
      <w:pPr>
        <w:pStyle w:val="Paragrafoelenco"/>
        <w:keepNext/>
        <w:spacing w:before="60" w:after="60"/>
        <w:ind w:left="0"/>
        <w:jc w:val="center"/>
      </w:pPr>
      <w:r w:rsidRPr="00440567">
        <w:rPr>
          <w:rFonts w:cstheme="minorHAnsi"/>
          <w:noProof/>
          <w:lang w:val="en-GB" w:eastAsia="en-GB"/>
        </w:rPr>
        <w:lastRenderedPageBreak/>
        <w:drawing>
          <wp:inline distT="0" distB="0" distL="0" distR="0" wp14:anchorId="012BC3DB" wp14:editId="1001BF82">
            <wp:extent cx="5281985" cy="2813574"/>
            <wp:effectExtent l="0" t="0" r="13970" b="635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A790A9" w14:textId="174C8C77" w:rsidR="00187C1F" w:rsidRPr="00440567" w:rsidRDefault="00956DCD" w:rsidP="00956DCD">
      <w:pPr>
        <w:pStyle w:val="Didascalia"/>
        <w:jc w:val="center"/>
        <w:rPr>
          <w:rFonts w:cstheme="minorHAnsi"/>
          <w:lang w:val="en-GB"/>
        </w:rPr>
      </w:pPr>
      <w:r w:rsidRPr="00956DCD">
        <w:rPr>
          <w:lang w:val="en-GB"/>
        </w:rPr>
        <w:t xml:space="preserve">Figure </w:t>
      </w:r>
      <w:r>
        <w:fldChar w:fldCharType="begin"/>
      </w:r>
      <w:r w:rsidRPr="00956DCD">
        <w:rPr>
          <w:lang w:val="en-GB"/>
        </w:rPr>
        <w:instrText xml:space="preserve"> SEQ Figure \* ARABIC </w:instrText>
      </w:r>
      <w:r>
        <w:fldChar w:fldCharType="separate"/>
      </w:r>
      <w:r w:rsidR="00212D63">
        <w:rPr>
          <w:noProof/>
          <w:lang w:val="en-GB"/>
        </w:rPr>
        <w:t>3</w:t>
      </w:r>
      <w:r>
        <w:fldChar w:fldCharType="end"/>
      </w:r>
      <w:r w:rsidRPr="00956DCD">
        <w:rPr>
          <w:lang w:val="en-GB"/>
        </w:rPr>
        <w:t xml:space="preserve">. Food distribution market share evolution. </w:t>
      </w:r>
      <w:r>
        <w:rPr>
          <w:lang w:val="en-GB"/>
        </w:rPr>
        <w:t xml:space="preserve">Federdistribuzione (2016). </w:t>
      </w:r>
    </w:p>
    <w:p w14:paraId="5A1B7D9F" w14:textId="06CC9003" w:rsidR="007A6BC7" w:rsidRPr="00440567" w:rsidRDefault="007A6BC7" w:rsidP="008E2A80">
      <w:pPr>
        <w:pStyle w:val="Paragrafoelenco"/>
        <w:spacing w:before="60" w:after="60"/>
        <w:ind w:left="0"/>
        <w:jc w:val="both"/>
        <w:rPr>
          <w:rFonts w:cstheme="minorHAnsi"/>
          <w:lang w:val="en-GB"/>
        </w:rPr>
      </w:pPr>
      <w:r w:rsidRPr="00440567">
        <w:rPr>
          <w:rFonts w:cstheme="minorHAnsi"/>
          <w:lang w:val="en-GB"/>
        </w:rPr>
        <w:t xml:space="preserve">When we cumulate these percentages and we just differentiate between GDO (Hypermarkets, Supermarkets and Superettes, Discounts) vs CDS (Traditional shops + Street sellers) the picture becomes even more clear: the former took a 10 percentage points share from </w:t>
      </w:r>
      <w:r w:rsidR="00E12767" w:rsidRPr="00440567">
        <w:rPr>
          <w:rFonts w:cstheme="minorHAnsi"/>
          <w:lang w:val="en-GB"/>
        </w:rPr>
        <w:t>the latter, t</w:t>
      </w:r>
      <w:r w:rsidR="00C614BA" w:rsidRPr="00440567">
        <w:rPr>
          <w:rFonts w:cstheme="minorHAnsi"/>
          <w:lang w:val="en-GB"/>
        </w:rPr>
        <w:t>hat moved from 36.9% to 26.5%. This reduction is confirmed also when looking at the CDS by food typology: the total number of fruit and vegetables shops (-10%), butchers (-26.9%), bakers</w:t>
      </w:r>
      <w:r w:rsidR="00A144B1" w:rsidRPr="00440567">
        <w:rPr>
          <w:rFonts w:cstheme="minorHAnsi"/>
          <w:lang w:val="en-GB"/>
        </w:rPr>
        <w:t xml:space="preserve"> (-13.1</w:t>
      </w:r>
      <w:r w:rsidR="00C614BA" w:rsidRPr="00440567">
        <w:rPr>
          <w:rFonts w:cstheme="minorHAnsi"/>
          <w:lang w:val="en-GB"/>
        </w:rPr>
        <w:t>%) and other specialised food sellers</w:t>
      </w:r>
      <w:r w:rsidR="00A144B1" w:rsidRPr="00440567">
        <w:rPr>
          <w:rFonts w:cstheme="minorHAnsi"/>
          <w:lang w:val="en-GB"/>
        </w:rPr>
        <w:t xml:space="preserve"> (-49%)</w:t>
      </w:r>
      <w:r w:rsidR="00C614BA" w:rsidRPr="00440567">
        <w:rPr>
          <w:rFonts w:cstheme="minorHAnsi"/>
          <w:lang w:val="en-GB"/>
        </w:rPr>
        <w:t xml:space="preserve"> decreased over time</w:t>
      </w:r>
      <w:r w:rsidR="00A144B1" w:rsidRPr="00440567">
        <w:rPr>
          <w:rFonts w:cstheme="minorHAnsi"/>
          <w:lang w:val="en-GB"/>
        </w:rPr>
        <w:t>. Apart from the increases in Fisheries (+11.2%) and Drink shops (</w:t>
      </w:r>
      <w:r w:rsidR="009D2EE4" w:rsidRPr="00440567">
        <w:rPr>
          <w:rFonts w:cstheme="minorHAnsi"/>
          <w:lang w:val="en-GB"/>
        </w:rPr>
        <w:t>+</w:t>
      </w:r>
      <w:r w:rsidR="00A144B1" w:rsidRPr="00440567">
        <w:rPr>
          <w:rFonts w:cstheme="minorHAnsi"/>
          <w:lang w:val="en-GB"/>
        </w:rPr>
        <w:t>27.5%), the</w:t>
      </w:r>
      <w:r w:rsidR="009D2EE4" w:rsidRPr="00440567">
        <w:rPr>
          <w:rFonts w:cstheme="minorHAnsi"/>
          <w:lang w:val="en-GB"/>
        </w:rPr>
        <w:t xml:space="preserve"> </w:t>
      </w:r>
      <w:r w:rsidR="00795D96" w:rsidRPr="00440567">
        <w:rPr>
          <w:rFonts w:cstheme="minorHAnsi"/>
          <w:lang w:val="en-GB"/>
        </w:rPr>
        <w:t>whole CDS</w:t>
      </w:r>
      <w:r w:rsidR="00A144B1" w:rsidRPr="00440567">
        <w:rPr>
          <w:rFonts w:cstheme="minorHAnsi"/>
          <w:lang w:val="en-GB"/>
        </w:rPr>
        <w:t xml:space="preserve"> </w:t>
      </w:r>
      <w:r w:rsidR="009D2EE4" w:rsidRPr="00440567">
        <w:rPr>
          <w:rFonts w:cstheme="minorHAnsi"/>
          <w:lang w:val="en-GB"/>
        </w:rPr>
        <w:t xml:space="preserve">specialised </w:t>
      </w:r>
      <w:r w:rsidR="00A144B1" w:rsidRPr="00440567">
        <w:rPr>
          <w:rFonts w:cstheme="minorHAnsi"/>
          <w:lang w:val="en-GB"/>
        </w:rPr>
        <w:t>sector registered a 14.2% decrease in the number of specialised food shops.</w:t>
      </w:r>
      <w:r w:rsidR="00C947CC" w:rsidRPr="00440567">
        <w:rPr>
          <w:rFonts w:cstheme="minorHAnsi"/>
          <w:lang w:val="en-GB"/>
        </w:rPr>
        <w:t xml:space="preserve"> However, since the total share still sums to a quarter of the market share it is reasonable to state that this contraction is not necessarily leading to a complete demise. </w:t>
      </w:r>
    </w:p>
    <w:p w14:paraId="4752133F" w14:textId="77777777" w:rsidR="007A6BC7" w:rsidRPr="00440567" w:rsidRDefault="007A6BC7" w:rsidP="008E2A80">
      <w:pPr>
        <w:pStyle w:val="Paragrafoelenco"/>
        <w:spacing w:before="60" w:after="60"/>
        <w:ind w:left="0"/>
        <w:jc w:val="both"/>
        <w:rPr>
          <w:rFonts w:cstheme="minorHAnsi"/>
          <w:lang w:val="en-GB"/>
        </w:rPr>
      </w:pPr>
    </w:p>
    <w:p w14:paraId="097119A1" w14:textId="77777777" w:rsidR="00A26563" w:rsidRDefault="002702BC" w:rsidP="00A26563">
      <w:pPr>
        <w:pStyle w:val="Paragrafoelenco"/>
        <w:keepNext/>
        <w:spacing w:before="60" w:after="60"/>
        <w:ind w:left="0"/>
        <w:jc w:val="center"/>
      </w:pPr>
      <w:r w:rsidRPr="00440567">
        <w:rPr>
          <w:rFonts w:cstheme="minorHAnsi"/>
          <w:noProof/>
          <w:lang w:val="en-GB" w:eastAsia="en-GB"/>
        </w:rPr>
        <w:drawing>
          <wp:inline distT="0" distB="0" distL="0" distR="0" wp14:anchorId="6085E923" wp14:editId="6CD08C7F">
            <wp:extent cx="5510254" cy="2743200"/>
            <wp:effectExtent l="0" t="0" r="14605" b="0"/>
            <wp:docPr id="1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8E3C13" w14:textId="4C603B9D" w:rsidR="002702BC" w:rsidRPr="00440567" w:rsidRDefault="00A26563" w:rsidP="00A26563">
      <w:pPr>
        <w:pStyle w:val="Didascalia"/>
        <w:jc w:val="center"/>
        <w:rPr>
          <w:rFonts w:cstheme="minorHAnsi"/>
          <w:lang w:val="en-GB"/>
        </w:rPr>
      </w:pPr>
      <w:r w:rsidRPr="00A26563">
        <w:rPr>
          <w:lang w:val="en-GB"/>
        </w:rPr>
        <w:t xml:space="preserve">Figure </w:t>
      </w:r>
      <w:r>
        <w:fldChar w:fldCharType="begin"/>
      </w:r>
      <w:r w:rsidRPr="00A26563">
        <w:rPr>
          <w:lang w:val="en-GB"/>
        </w:rPr>
        <w:instrText xml:space="preserve"> SEQ Figure \* ARABIC </w:instrText>
      </w:r>
      <w:r>
        <w:fldChar w:fldCharType="separate"/>
      </w:r>
      <w:r w:rsidR="00212D63">
        <w:rPr>
          <w:noProof/>
          <w:lang w:val="en-GB"/>
        </w:rPr>
        <w:t>4</w:t>
      </w:r>
      <w:r>
        <w:fldChar w:fldCharType="end"/>
      </w:r>
      <w:r w:rsidRPr="00A26563">
        <w:rPr>
          <w:lang w:val="en-GB"/>
        </w:rPr>
        <w:t xml:space="preserve">. Food distribution market share evolution. </w:t>
      </w:r>
      <w:r>
        <w:rPr>
          <w:lang w:val="en-GB"/>
        </w:rPr>
        <w:t>GDO vs CDS. Federdistribuzione (2016).</w:t>
      </w:r>
    </w:p>
    <w:p w14:paraId="22AC0FE7" w14:textId="77777777" w:rsidR="002702BC" w:rsidRPr="00440567" w:rsidRDefault="002702BC" w:rsidP="008E2A80">
      <w:pPr>
        <w:pStyle w:val="Paragrafoelenco"/>
        <w:spacing w:before="60" w:after="60"/>
        <w:ind w:left="0"/>
        <w:jc w:val="both"/>
        <w:rPr>
          <w:rFonts w:cstheme="minorHAnsi"/>
          <w:lang w:val="en-GB"/>
        </w:rPr>
      </w:pPr>
    </w:p>
    <w:p w14:paraId="0D960C1F" w14:textId="77777777" w:rsidR="00A26563" w:rsidRDefault="00C614BA" w:rsidP="00A26563">
      <w:pPr>
        <w:pStyle w:val="Paragrafoelenco"/>
        <w:keepNext/>
        <w:spacing w:before="60" w:after="60"/>
        <w:ind w:left="0"/>
        <w:jc w:val="center"/>
      </w:pPr>
      <w:r w:rsidRPr="00440567">
        <w:rPr>
          <w:rFonts w:cstheme="minorHAnsi"/>
          <w:noProof/>
          <w:lang w:val="en-GB" w:eastAsia="en-GB"/>
        </w:rPr>
        <w:lastRenderedPageBreak/>
        <w:drawing>
          <wp:inline distT="0" distB="0" distL="0" distR="0" wp14:anchorId="1584C722" wp14:editId="6AADDDD3">
            <wp:extent cx="5478449" cy="2743200"/>
            <wp:effectExtent l="0" t="0" r="8255" b="0"/>
            <wp:docPr id="17" name="Gra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066388" w14:textId="7DDE18CC" w:rsidR="00A5575D" w:rsidRPr="00440567" w:rsidRDefault="00A26563" w:rsidP="00A26563">
      <w:pPr>
        <w:pStyle w:val="Didascalia"/>
        <w:jc w:val="center"/>
        <w:rPr>
          <w:rFonts w:cstheme="minorHAnsi"/>
          <w:lang w:val="en-GB"/>
        </w:rPr>
      </w:pPr>
      <w:r w:rsidRPr="00A26563">
        <w:rPr>
          <w:lang w:val="en-GB"/>
        </w:rPr>
        <w:t xml:space="preserve">Figure </w:t>
      </w:r>
      <w:r>
        <w:fldChar w:fldCharType="begin"/>
      </w:r>
      <w:r w:rsidRPr="00A26563">
        <w:rPr>
          <w:lang w:val="en-GB"/>
        </w:rPr>
        <w:instrText xml:space="preserve"> SEQ Figure \* ARABIC </w:instrText>
      </w:r>
      <w:r>
        <w:fldChar w:fldCharType="separate"/>
      </w:r>
      <w:r w:rsidR="00212D63">
        <w:rPr>
          <w:noProof/>
          <w:lang w:val="en-GB"/>
        </w:rPr>
        <w:t>5</w:t>
      </w:r>
      <w:r>
        <w:fldChar w:fldCharType="end"/>
      </w:r>
      <w:r w:rsidRPr="00A26563">
        <w:rPr>
          <w:lang w:val="en-GB"/>
        </w:rPr>
        <w:t>. Number of CDS by food typology: 2000</w:t>
      </w:r>
      <w:r w:rsidR="00A928A1">
        <w:rPr>
          <w:lang w:val="en-GB"/>
        </w:rPr>
        <w:t xml:space="preserve"> vs 2017. Own analyses based on</w:t>
      </w:r>
      <w:r>
        <w:rPr>
          <w:lang w:val="en-GB"/>
        </w:rPr>
        <w:t xml:space="preserve"> data</w:t>
      </w:r>
      <w:r w:rsidR="00A928A1">
        <w:rPr>
          <w:lang w:val="en-GB"/>
        </w:rPr>
        <w:t xml:space="preserve"> furnished by the Ministry of Economic Development</w:t>
      </w:r>
      <w:r>
        <w:rPr>
          <w:lang w:val="en-GB"/>
        </w:rPr>
        <w:t>.</w:t>
      </w:r>
    </w:p>
    <w:p w14:paraId="55D19E9C" w14:textId="1844A639" w:rsidR="00C947CC" w:rsidRPr="00440567" w:rsidRDefault="00C947CC" w:rsidP="008E2A80">
      <w:pPr>
        <w:pStyle w:val="Paragrafoelenco"/>
        <w:spacing w:before="60" w:after="60"/>
        <w:ind w:left="0"/>
        <w:jc w:val="both"/>
        <w:rPr>
          <w:rFonts w:cstheme="minorHAnsi"/>
          <w:lang w:val="en-GB"/>
        </w:rPr>
      </w:pPr>
    </w:p>
    <w:p w14:paraId="689B59DA" w14:textId="7A6712C8" w:rsidR="009205FA" w:rsidRPr="00F0062A" w:rsidRDefault="009205FA" w:rsidP="008E2A80">
      <w:pPr>
        <w:pStyle w:val="Titolo3"/>
        <w:spacing w:before="60" w:after="60"/>
        <w:jc w:val="both"/>
        <w:rPr>
          <w:rFonts w:asciiTheme="minorHAnsi" w:hAnsiTheme="minorHAnsi" w:cstheme="minorHAnsi"/>
          <w:i/>
          <w:lang w:val="en-GB"/>
        </w:rPr>
      </w:pPr>
      <w:r w:rsidRPr="00F0062A">
        <w:rPr>
          <w:rFonts w:asciiTheme="minorHAnsi" w:hAnsiTheme="minorHAnsi" w:cstheme="minorHAnsi"/>
          <w:i/>
          <w:lang w:val="en-GB"/>
        </w:rPr>
        <w:t>2.3 Typologies of Alternative Food Networks</w:t>
      </w:r>
    </w:p>
    <w:p w14:paraId="32242393" w14:textId="206D4EDD" w:rsidR="00704279" w:rsidRPr="00440567" w:rsidRDefault="00717142" w:rsidP="008E2A80">
      <w:pPr>
        <w:spacing w:before="60" w:after="60"/>
        <w:jc w:val="both"/>
        <w:rPr>
          <w:rFonts w:cstheme="minorHAnsi"/>
          <w:lang w:val="en-GB"/>
        </w:rPr>
      </w:pPr>
      <w:r w:rsidRPr="00440567">
        <w:rPr>
          <w:rFonts w:cstheme="minorHAnsi"/>
          <w:lang w:val="en-GB"/>
        </w:rPr>
        <w:t>The challenge posed to sustainability by the global food system has spurred the rise of alternative practices for food provisioning all over the globe. Far from being a uniform scenario, the alternative provision of food developed through a variety of channels, bonded by the rediscovery of and reconnection</w:t>
      </w:r>
      <w:r w:rsidR="009D4655" w:rsidRPr="00440567">
        <w:rPr>
          <w:rFonts w:cstheme="minorHAnsi"/>
          <w:lang w:val="en-GB"/>
        </w:rPr>
        <w:t xml:space="preserve"> with food product</w:t>
      </w:r>
      <w:r w:rsidR="005245DB" w:rsidRPr="00440567">
        <w:rPr>
          <w:rFonts w:cstheme="minorHAnsi"/>
          <w:lang w:val="en-GB"/>
        </w:rPr>
        <w:t xml:space="preserve">ion. Especially in periurban areas, urban-rural proximity provides farmers with the opportunity and the incentives to develop alternative food chains and direct </w:t>
      </w:r>
      <w:r w:rsidR="00704279" w:rsidRPr="00440567">
        <w:rPr>
          <w:rFonts w:cstheme="minorHAnsi"/>
          <w:lang w:val="en-GB"/>
        </w:rPr>
        <w:t>sales</w:t>
      </w:r>
      <w:r w:rsidR="005245DB" w:rsidRPr="00440567">
        <w:rPr>
          <w:rFonts w:cstheme="minorHAnsi"/>
          <w:lang w:val="en-GB"/>
        </w:rPr>
        <w:t>, and consumers with the possibility to get easily in contact with goods they recognise as loca</w:t>
      </w:r>
      <w:r w:rsidR="00A26563">
        <w:rPr>
          <w:rFonts w:cstheme="minorHAnsi"/>
          <w:lang w:val="en-GB"/>
        </w:rPr>
        <w:t>l, traditional, and natural (Marino, 2018</w:t>
      </w:r>
      <w:r w:rsidR="005245DB" w:rsidRPr="00440567">
        <w:rPr>
          <w:rFonts w:cstheme="minorHAnsi"/>
          <w:lang w:val="en-GB"/>
        </w:rPr>
        <w:t xml:space="preserve">). </w:t>
      </w:r>
      <w:r w:rsidRPr="00440567">
        <w:rPr>
          <w:rFonts w:cstheme="minorHAnsi"/>
          <w:lang w:val="en-GB"/>
        </w:rPr>
        <w:t xml:space="preserve">In the Italian </w:t>
      </w:r>
      <w:r w:rsidR="009D4655" w:rsidRPr="00440567">
        <w:rPr>
          <w:rFonts w:cstheme="minorHAnsi"/>
          <w:lang w:val="en-GB"/>
        </w:rPr>
        <w:t>context,</w:t>
      </w:r>
      <w:r w:rsidRPr="00440567">
        <w:rPr>
          <w:rFonts w:cstheme="minorHAnsi"/>
          <w:lang w:val="en-GB"/>
        </w:rPr>
        <w:t xml:space="preserve"> we can distinguish between two main B2C channels aimed at </w:t>
      </w:r>
      <w:r w:rsidR="009D4655" w:rsidRPr="00440567">
        <w:rPr>
          <w:rFonts w:cstheme="minorHAnsi"/>
          <w:lang w:val="en-GB"/>
        </w:rPr>
        <w:t>re</w:t>
      </w:r>
      <w:r w:rsidRPr="00440567">
        <w:rPr>
          <w:rFonts w:cstheme="minorHAnsi"/>
          <w:lang w:val="en-GB"/>
        </w:rPr>
        <w:t>connecti</w:t>
      </w:r>
      <w:r w:rsidR="009D4655" w:rsidRPr="00440567">
        <w:rPr>
          <w:rFonts w:cstheme="minorHAnsi"/>
          <w:lang w:val="en-GB"/>
        </w:rPr>
        <w:t>ng</w:t>
      </w:r>
      <w:r w:rsidRPr="00440567">
        <w:rPr>
          <w:rFonts w:cstheme="minorHAnsi"/>
          <w:lang w:val="en-GB"/>
        </w:rPr>
        <w:t xml:space="preserve"> </w:t>
      </w:r>
      <w:r w:rsidR="009D4655" w:rsidRPr="00440567">
        <w:rPr>
          <w:rFonts w:cstheme="minorHAnsi"/>
          <w:lang w:val="en-GB"/>
        </w:rPr>
        <w:t>producers and consu</w:t>
      </w:r>
      <w:r w:rsidR="00FD662D" w:rsidRPr="00440567">
        <w:rPr>
          <w:rFonts w:cstheme="minorHAnsi"/>
          <w:lang w:val="en-GB"/>
        </w:rPr>
        <w:t xml:space="preserve">mers: direct </w:t>
      </w:r>
      <w:r w:rsidR="00704279" w:rsidRPr="00440567">
        <w:rPr>
          <w:rFonts w:cstheme="minorHAnsi"/>
          <w:lang w:val="en-GB"/>
        </w:rPr>
        <w:t>sales</w:t>
      </w:r>
      <w:r w:rsidR="00FD662D" w:rsidRPr="00440567">
        <w:rPr>
          <w:rFonts w:cstheme="minorHAnsi"/>
          <w:lang w:val="en-GB"/>
        </w:rPr>
        <w:t xml:space="preserve"> and </w:t>
      </w:r>
      <w:r w:rsidR="005A5A07" w:rsidRPr="00440567">
        <w:rPr>
          <w:rFonts w:cstheme="minorHAnsi"/>
          <w:lang w:val="en-GB"/>
        </w:rPr>
        <w:t xml:space="preserve">short </w:t>
      </w:r>
      <w:r w:rsidR="00FD662D" w:rsidRPr="00440567">
        <w:rPr>
          <w:rFonts w:cstheme="minorHAnsi"/>
          <w:lang w:val="en-GB"/>
        </w:rPr>
        <w:t xml:space="preserve">food </w:t>
      </w:r>
      <w:r w:rsidR="00C3376D" w:rsidRPr="00440567">
        <w:rPr>
          <w:rFonts w:cstheme="minorHAnsi"/>
          <w:lang w:val="en-GB"/>
        </w:rPr>
        <w:t xml:space="preserve">supply </w:t>
      </w:r>
      <w:r w:rsidR="00FD662D" w:rsidRPr="00440567">
        <w:rPr>
          <w:rFonts w:cstheme="minorHAnsi"/>
          <w:lang w:val="en-GB"/>
        </w:rPr>
        <w:t>chains.</w:t>
      </w:r>
      <w:r w:rsidR="00704279" w:rsidRPr="00440567">
        <w:rPr>
          <w:rFonts w:cstheme="minorHAnsi"/>
          <w:lang w:val="en-GB"/>
        </w:rPr>
        <w:t xml:space="preserve"> </w:t>
      </w:r>
      <w:r w:rsidR="00153831" w:rsidRPr="00440567">
        <w:rPr>
          <w:rFonts w:cstheme="minorHAnsi"/>
          <w:lang w:val="en-GB"/>
        </w:rPr>
        <w:t xml:space="preserve">These channels intertwine and are simultaneously used by producers to increase their market reach. </w:t>
      </w:r>
    </w:p>
    <w:p w14:paraId="1842BD1C" w14:textId="18EE2DA3" w:rsidR="00704279" w:rsidRPr="00440567" w:rsidRDefault="00704279" w:rsidP="008E2A80">
      <w:pPr>
        <w:spacing w:before="60" w:after="60"/>
        <w:jc w:val="both"/>
        <w:rPr>
          <w:rFonts w:cstheme="minorHAnsi"/>
          <w:lang w:val="en-GB"/>
        </w:rPr>
      </w:pPr>
      <w:r w:rsidRPr="00440567">
        <w:rPr>
          <w:rFonts w:cstheme="minorHAnsi"/>
          <w:b/>
          <w:lang w:val="en-GB"/>
        </w:rPr>
        <w:t xml:space="preserve">Direct sales </w:t>
      </w:r>
      <w:r w:rsidRPr="00440567">
        <w:rPr>
          <w:rFonts w:cstheme="minorHAnsi"/>
          <w:lang w:val="en-GB"/>
        </w:rPr>
        <w:t>refer to the trade of agricultural goods from the producer to the consumer.</w:t>
      </w:r>
      <w:r w:rsidR="005A5A07" w:rsidRPr="00440567">
        <w:rPr>
          <w:rFonts w:cstheme="minorHAnsi"/>
          <w:lang w:val="en-GB"/>
        </w:rPr>
        <w:t xml:space="preserve"> Direct sales are regulated by local councils, following the parameters contained in the 2006 Ministerial decree</w:t>
      </w:r>
      <w:r w:rsidR="00485935">
        <w:rPr>
          <w:rFonts w:cstheme="minorHAnsi"/>
          <w:lang w:val="en-GB"/>
        </w:rPr>
        <w:t xml:space="preserve"> (Rete Rurale Nazionale, 2017)</w:t>
      </w:r>
      <w:r w:rsidR="005A5A07" w:rsidRPr="00440567">
        <w:rPr>
          <w:rFonts w:cstheme="minorHAnsi"/>
          <w:lang w:val="en-GB"/>
        </w:rPr>
        <w:t>.</w:t>
      </w:r>
      <w:r w:rsidRPr="00440567">
        <w:rPr>
          <w:rFonts w:cstheme="minorHAnsi"/>
          <w:lang w:val="en-GB"/>
        </w:rPr>
        <w:t xml:space="preserve"> </w:t>
      </w:r>
      <w:r w:rsidR="005A5A07" w:rsidRPr="00440567">
        <w:rPr>
          <w:rFonts w:cstheme="minorHAnsi"/>
          <w:lang w:val="en-GB"/>
        </w:rPr>
        <w:t xml:space="preserve">This </w:t>
      </w:r>
      <w:r w:rsidR="00487E9A" w:rsidRPr="00440567">
        <w:rPr>
          <w:rFonts w:cstheme="minorHAnsi"/>
          <w:lang w:val="en-GB"/>
        </w:rPr>
        <w:t>model</w:t>
      </w:r>
      <w:r w:rsidRPr="00440567">
        <w:rPr>
          <w:rFonts w:cstheme="minorHAnsi"/>
          <w:lang w:val="en-GB"/>
        </w:rPr>
        <w:t xml:space="preserve"> allow</w:t>
      </w:r>
      <w:r w:rsidR="005A5A07" w:rsidRPr="00440567">
        <w:rPr>
          <w:rFonts w:cstheme="minorHAnsi"/>
          <w:lang w:val="en-GB"/>
        </w:rPr>
        <w:t>s</w:t>
      </w:r>
      <w:r w:rsidRPr="00440567">
        <w:rPr>
          <w:rFonts w:cstheme="minorHAnsi"/>
          <w:lang w:val="en-GB"/>
        </w:rPr>
        <w:t xml:space="preserve"> producers to cut out all </w:t>
      </w:r>
      <w:r w:rsidR="005A5A07" w:rsidRPr="00440567">
        <w:rPr>
          <w:rFonts w:cstheme="minorHAnsi"/>
          <w:lang w:val="en-GB"/>
        </w:rPr>
        <w:t>intermediaries’</w:t>
      </w:r>
      <w:r w:rsidRPr="00440567">
        <w:rPr>
          <w:rFonts w:cstheme="minorHAnsi"/>
          <w:lang w:val="en-GB"/>
        </w:rPr>
        <w:t xml:space="preserve"> costs from the transaction. In Italy, direct sales from agricultural producers to consumers involve</w:t>
      </w:r>
      <w:r w:rsidR="00A26563">
        <w:rPr>
          <w:rFonts w:cstheme="minorHAnsi"/>
          <w:lang w:val="en-GB"/>
        </w:rPr>
        <w:t xml:space="preserve"> around 270.000 farms (17%) (Marino, 2018</w:t>
      </w:r>
      <w:r w:rsidRPr="00440567">
        <w:rPr>
          <w:rFonts w:cstheme="minorHAnsi"/>
          <w:lang w:val="en-GB"/>
        </w:rPr>
        <w:t>), and operates through the following channels (</w:t>
      </w:r>
      <w:r w:rsidR="00A26563">
        <w:rPr>
          <w:rFonts w:cstheme="minorHAnsi"/>
          <w:lang w:val="en-GB"/>
        </w:rPr>
        <w:t>Rete Rurale Nazionale, 2017</w:t>
      </w:r>
      <w:r w:rsidRPr="00440567">
        <w:rPr>
          <w:rFonts w:cstheme="minorHAnsi"/>
          <w:lang w:val="en-GB"/>
        </w:rPr>
        <w:t>):</w:t>
      </w:r>
    </w:p>
    <w:p w14:paraId="59ABD73E" w14:textId="23555881" w:rsidR="00704279" w:rsidRPr="00440567" w:rsidRDefault="00704279" w:rsidP="008E2A80">
      <w:pPr>
        <w:pStyle w:val="Paragrafoelenco"/>
        <w:numPr>
          <w:ilvl w:val="0"/>
          <w:numId w:val="2"/>
        </w:numPr>
        <w:spacing w:before="60" w:after="60"/>
        <w:jc w:val="both"/>
        <w:rPr>
          <w:rFonts w:cstheme="minorHAnsi"/>
          <w:lang w:val="en-GB"/>
        </w:rPr>
      </w:pPr>
      <w:r w:rsidRPr="00440567">
        <w:rPr>
          <w:rFonts w:cstheme="minorHAnsi"/>
          <w:lang w:val="en-GB"/>
        </w:rPr>
        <w:t xml:space="preserve">Company outlet: the producer opens </w:t>
      </w:r>
      <w:r w:rsidR="00153831" w:rsidRPr="00440567">
        <w:rPr>
          <w:rFonts w:cstheme="minorHAnsi"/>
          <w:lang w:val="en-GB"/>
        </w:rPr>
        <w:t>a point-of-sale in the production site</w:t>
      </w:r>
    </w:p>
    <w:p w14:paraId="1C311AB7" w14:textId="2C4A325E" w:rsidR="00153831" w:rsidRPr="00440567" w:rsidRDefault="00153831" w:rsidP="008E2A80">
      <w:pPr>
        <w:pStyle w:val="Paragrafoelenco"/>
        <w:numPr>
          <w:ilvl w:val="0"/>
          <w:numId w:val="2"/>
        </w:numPr>
        <w:spacing w:before="60" w:after="60"/>
        <w:jc w:val="both"/>
        <w:rPr>
          <w:rFonts w:cstheme="minorHAnsi"/>
          <w:lang w:val="en-GB"/>
        </w:rPr>
      </w:pPr>
      <w:r w:rsidRPr="00440567">
        <w:rPr>
          <w:rFonts w:cstheme="minorHAnsi"/>
          <w:lang w:val="en-GB"/>
        </w:rPr>
        <w:t xml:space="preserve">Local markets: the producer sells his products in the local market of nearby towns/cities after a public call for tender </w:t>
      </w:r>
    </w:p>
    <w:p w14:paraId="04431918" w14:textId="38C4891D" w:rsidR="00C3376D" w:rsidRPr="00440567" w:rsidRDefault="00153831" w:rsidP="008E2A80">
      <w:pPr>
        <w:pStyle w:val="Paragrafoelenco"/>
        <w:numPr>
          <w:ilvl w:val="0"/>
          <w:numId w:val="2"/>
        </w:numPr>
        <w:spacing w:before="60" w:after="60"/>
        <w:jc w:val="both"/>
        <w:rPr>
          <w:rFonts w:cstheme="minorHAnsi"/>
          <w:lang w:val="en-GB"/>
        </w:rPr>
      </w:pPr>
      <w:r w:rsidRPr="00440567">
        <w:rPr>
          <w:rFonts w:cstheme="minorHAnsi"/>
          <w:lang w:val="en-GB"/>
        </w:rPr>
        <w:t xml:space="preserve">Farmer’s markets: differently from local markets, </w:t>
      </w:r>
      <w:r w:rsidR="005A5A07" w:rsidRPr="00440567">
        <w:rPr>
          <w:rFonts w:cstheme="minorHAnsi"/>
          <w:lang w:val="en-GB"/>
        </w:rPr>
        <w:t>only</w:t>
      </w:r>
      <w:r w:rsidR="00E958C2" w:rsidRPr="00440567">
        <w:rPr>
          <w:rFonts w:cstheme="minorHAnsi"/>
          <w:lang w:val="en-GB"/>
        </w:rPr>
        <w:t xml:space="preserve"> farmers registered to the Italian chamber of commerce</w:t>
      </w:r>
      <w:r w:rsidR="005A5A07" w:rsidRPr="00440567">
        <w:rPr>
          <w:rFonts w:cstheme="minorHAnsi"/>
          <w:lang w:val="en-GB"/>
        </w:rPr>
        <w:t xml:space="preserve"> can participate to the sales. </w:t>
      </w:r>
    </w:p>
    <w:p w14:paraId="66CCDF65" w14:textId="2BAFBB8C" w:rsidR="00C3376D" w:rsidRPr="00440567" w:rsidRDefault="00C3376D" w:rsidP="008E2A80">
      <w:pPr>
        <w:spacing w:before="60" w:after="60"/>
        <w:jc w:val="both"/>
        <w:rPr>
          <w:rFonts w:cstheme="minorHAnsi"/>
          <w:lang w:val="en-GB"/>
        </w:rPr>
      </w:pPr>
      <w:r w:rsidRPr="00440567">
        <w:rPr>
          <w:rFonts w:cstheme="minorHAnsi"/>
          <w:b/>
          <w:lang w:val="en-GB"/>
        </w:rPr>
        <w:t>Short food supply chains</w:t>
      </w:r>
      <w:r w:rsidR="00487E9A" w:rsidRPr="00440567">
        <w:rPr>
          <w:rFonts w:cstheme="minorHAnsi"/>
          <w:b/>
          <w:lang w:val="en-GB"/>
        </w:rPr>
        <w:t xml:space="preserve"> (SFSC)</w:t>
      </w:r>
      <w:r w:rsidRPr="00440567">
        <w:rPr>
          <w:rFonts w:cstheme="minorHAnsi"/>
          <w:b/>
          <w:lang w:val="en-GB"/>
        </w:rPr>
        <w:t xml:space="preserve"> </w:t>
      </w:r>
      <w:r w:rsidRPr="00440567">
        <w:rPr>
          <w:rFonts w:cstheme="minorHAnsi"/>
          <w:lang w:val="en-GB"/>
        </w:rPr>
        <w:t xml:space="preserve">are instead food-provisioning organisations formed by a number of users that promote cooperation, local economic development and </w:t>
      </w:r>
      <w:r w:rsidR="00B13DAE" w:rsidRPr="00440567">
        <w:rPr>
          <w:rFonts w:cstheme="minorHAnsi"/>
          <w:lang w:val="en-GB"/>
        </w:rPr>
        <w:t>networking</w:t>
      </w:r>
      <w:r w:rsidRPr="00440567">
        <w:rPr>
          <w:rFonts w:cstheme="minorHAnsi"/>
          <w:lang w:val="en-GB"/>
        </w:rPr>
        <w:t xml:space="preserve"> between local farms, tourist industry and consumers. </w:t>
      </w:r>
      <w:r w:rsidR="00487E9A" w:rsidRPr="00440567">
        <w:rPr>
          <w:rFonts w:cstheme="minorHAnsi"/>
          <w:lang w:val="en-GB"/>
        </w:rPr>
        <w:t>This model is based on the first-hand knowledge of the producer and on fair trade criteria in the distribution of the surplus. Most commonly known SFSC are:</w:t>
      </w:r>
    </w:p>
    <w:p w14:paraId="4B368AE7" w14:textId="7594CA4B" w:rsidR="00487E9A" w:rsidRPr="00440567" w:rsidRDefault="004F5774" w:rsidP="008E2A80">
      <w:pPr>
        <w:pStyle w:val="Paragrafoelenco"/>
        <w:numPr>
          <w:ilvl w:val="0"/>
          <w:numId w:val="3"/>
        </w:numPr>
        <w:spacing w:before="60" w:after="60"/>
        <w:jc w:val="both"/>
        <w:rPr>
          <w:rFonts w:cstheme="minorHAnsi"/>
          <w:lang w:val="en-GB"/>
        </w:rPr>
      </w:pPr>
      <w:r w:rsidRPr="00440567">
        <w:rPr>
          <w:rFonts w:cstheme="minorHAnsi"/>
          <w:lang w:val="en-GB"/>
        </w:rPr>
        <w:t>Solidarity Purchasing Groups (known in Italy as GAS)</w:t>
      </w:r>
      <w:r w:rsidR="001C7CD8" w:rsidRPr="00440567">
        <w:rPr>
          <w:rFonts w:cstheme="minorHAnsi"/>
          <w:lang w:val="en-GB"/>
        </w:rPr>
        <w:t>: GAS consist on the collective purchasing of foods (and other nondurables) by a small group of individuals (generally 20 to 40)</w:t>
      </w:r>
      <w:r w:rsidR="00AD57C5">
        <w:rPr>
          <w:rFonts w:cstheme="minorHAnsi"/>
          <w:lang w:val="en-GB"/>
        </w:rPr>
        <w:t xml:space="preserve"> (Grasseni, 2013)</w:t>
      </w:r>
      <w:r w:rsidR="000348FC" w:rsidRPr="00440567">
        <w:rPr>
          <w:rFonts w:cstheme="minorHAnsi"/>
          <w:lang w:val="en-GB"/>
        </w:rPr>
        <w:t xml:space="preserve">. Despite the organisational structure can greatly </w:t>
      </w:r>
      <w:r w:rsidR="00166236" w:rsidRPr="00440567">
        <w:rPr>
          <w:rFonts w:cstheme="minorHAnsi"/>
          <w:lang w:val="en-GB"/>
        </w:rPr>
        <w:t>vary,</w:t>
      </w:r>
      <w:r w:rsidR="000348FC" w:rsidRPr="00440567">
        <w:rPr>
          <w:rFonts w:cstheme="minorHAnsi"/>
          <w:lang w:val="en-GB"/>
        </w:rPr>
        <w:t xml:space="preserve"> all GAS select local </w:t>
      </w:r>
      <w:r w:rsidR="00C05205" w:rsidRPr="00440567">
        <w:rPr>
          <w:rFonts w:cstheme="minorHAnsi"/>
          <w:lang w:val="en-GB"/>
        </w:rPr>
        <w:t xml:space="preserve">producers that are in line with sustainability and fair trade principles. </w:t>
      </w:r>
    </w:p>
    <w:p w14:paraId="65429812" w14:textId="1BD90C22" w:rsidR="004F5774" w:rsidRPr="00440567" w:rsidRDefault="004F5774" w:rsidP="008E2A80">
      <w:pPr>
        <w:pStyle w:val="Paragrafoelenco"/>
        <w:numPr>
          <w:ilvl w:val="0"/>
          <w:numId w:val="3"/>
        </w:numPr>
        <w:spacing w:before="60" w:after="60"/>
        <w:jc w:val="both"/>
        <w:rPr>
          <w:rFonts w:cstheme="minorHAnsi"/>
          <w:lang w:val="en-GB"/>
        </w:rPr>
      </w:pPr>
      <w:r w:rsidRPr="00440567">
        <w:rPr>
          <w:rFonts w:cstheme="minorHAnsi"/>
          <w:lang w:val="en-GB"/>
        </w:rPr>
        <w:lastRenderedPageBreak/>
        <w:t>B</w:t>
      </w:r>
      <w:r w:rsidR="00B13DAE" w:rsidRPr="00440567">
        <w:rPr>
          <w:rFonts w:cstheme="minorHAnsi"/>
          <w:lang w:val="en-GB"/>
        </w:rPr>
        <w:t>ox scheme</w:t>
      </w:r>
      <w:r w:rsidR="00C05205" w:rsidRPr="00440567">
        <w:rPr>
          <w:rFonts w:cstheme="minorHAnsi"/>
          <w:lang w:val="en-GB"/>
        </w:rPr>
        <w:t xml:space="preserve">: </w:t>
      </w:r>
      <w:r w:rsidR="00B13DAE" w:rsidRPr="00440567">
        <w:rPr>
          <w:rFonts w:cstheme="minorHAnsi"/>
          <w:lang w:val="en-GB"/>
        </w:rPr>
        <w:t>home delivery services of local food products, generally ordered through online services.</w:t>
      </w:r>
    </w:p>
    <w:p w14:paraId="0A090AA5" w14:textId="49267E27" w:rsidR="00987630" w:rsidRDefault="004F5774" w:rsidP="008E2A80">
      <w:pPr>
        <w:pStyle w:val="Paragrafoelenco"/>
        <w:numPr>
          <w:ilvl w:val="0"/>
          <w:numId w:val="3"/>
        </w:numPr>
        <w:spacing w:before="60" w:after="60"/>
        <w:jc w:val="both"/>
        <w:rPr>
          <w:rFonts w:cstheme="minorHAnsi"/>
          <w:lang w:val="en-GB"/>
        </w:rPr>
      </w:pPr>
      <w:r w:rsidRPr="00440567">
        <w:rPr>
          <w:rFonts w:cstheme="minorHAnsi"/>
          <w:lang w:val="en-GB"/>
        </w:rPr>
        <w:t>Community Supported Agriculture (CSA)</w:t>
      </w:r>
      <w:r w:rsidR="00E61934" w:rsidRPr="00440567">
        <w:rPr>
          <w:rFonts w:cstheme="minorHAnsi"/>
          <w:lang w:val="en-GB"/>
        </w:rPr>
        <w:t>: CSA compris</w:t>
      </w:r>
      <w:r w:rsidR="00935877" w:rsidRPr="00440567">
        <w:rPr>
          <w:rFonts w:cstheme="minorHAnsi"/>
          <w:lang w:val="en-GB"/>
        </w:rPr>
        <w:t>e</w:t>
      </w:r>
      <w:r w:rsidR="00E61934" w:rsidRPr="00440567">
        <w:rPr>
          <w:rFonts w:cstheme="minorHAnsi"/>
          <w:lang w:val="en-GB"/>
        </w:rPr>
        <w:t>s a heterogeneous number of activities with different objectives, that all have in common the participation of consumers in the production process by acquiring, ahead of time, a share of the</w:t>
      </w:r>
      <w:r w:rsidR="004903B4" w:rsidRPr="00440567">
        <w:rPr>
          <w:rFonts w:cstheme="minorHAnsi"/>
          <w:lang w:val="en-GB"/>
        </w:rPr>
        <w:t xml:space="preserve"> farmer production</w:t>
      </w:r>
      <w:r w:rsidR="003B6BA3">
        <w:rPr>
          <w:rFonts w:cstheme="minorHAnsi"/>
          <w:lang w:val="en-GB"/>
        </w:rPr>
        <w:t xml:space="preserve"> (e.g. acquiring a share of cheese before the actual production so to sustain local breeders)</w:t>
      </w:r>
      <w:r w:rsidR="004903B4" w:rsidRPr="00440567">
        <w:rPr>
          <w:rFonts w:cstheme="minorHAnsi"/>
          <w:lang w:val="en-GB"/>
        </w:rPr>
        <w:t xml:space="preserve">. CSA thus share the entrepreneurial risk while supporting the local production of </w:t>
      </w:r>
      <w:r w:rsidR="003B6BA3">
        <w:rPr>
          <w:rFonts w:cstheme="minorHAnsi"/>
          <w:lang w:val="en-GB"/>
        </w:rPr>
        <w:t xml:space="preserve">foods. </w:t>
      </w:r>
    </w:p>
    <w:p w14:paraId="64C2796E" w14:textId="77777777" w:rsidR="008770F0" w:rsidRDefault="008770F0" w:rsidP="008770F0">
      <w:pPr>
        <w:pStyle w:val="Paragrafoelenco"/>
        <w:spacing w:before="60" w:after="60"/>
        <w:jc w:val="both"/>
        <w:rPr>
          <w:rFonts w:cstheme="minorHAnsi"/>
          <w:lang w:val="en-GB"/>
        </w:rPr>
      </w:pPr>
    </w:p>
    <w:p w14:paraId="1300C676" w14:textId="66E9B255" w:rsidR="008D4B0D" w:rsidRPr="00163950" w:rsidRDefault="00987630" w:rsidP="00853BE0">
      <w:pPr>
        <w:pStyle w:val="Titolo2"/>
        <w:spacing w:before="60" w:after="60"/>
        <w:jc w:val="both"/>
        <w:rPr>
          <w:rFonts w:cstheme="minorHAnsi"/>
          <w:lang w:val="en-GB"/>
        </w:rPr>
      </w:pPr>
      <w:r w:rsidRPr="00485935">
        <w:rPr>
          <w:rFonts w:asciiTheme="minorHAnsi" w:hAnsiTheme="minorHAnsi" w:cstheme="minorHAnsi"/>
          <w:b/>
          <w:lang w:val="en-GB"/>
        </w:rPr>
        <w:t xml:space="preserve">3. </w:t>
      </w:r>
      <w:r w:rsidR="0078259A" w:rsidRPr="00485935">
        <w:rPr>
          <w:rFonts w:asciiTheme="minorHAnsi" w:hAnsiTheme="minorHAnsi" w:cstheme="minorHAnsi"/>
          <w:b/>
          <w:lang w:val="en-GB"/>
        </w:rPr>
        <w:t>Consumer behaviour and culture</w:t>
      </w:r>
      <w:r w:rsidR="003A3E0E" w:rsidRPr="00485935">
        <w:rPr>
          <w:rFonts w:asciiTheme="minorHAnsi" w:hAnsiTheme="minorHAnsi" w:cstheme="minorHAnsi"/>
          <w:b/>
          <w:lang w:val="en-GB"/>
        </w:rPr>
        <w:t>: the demand-side</w:t>
      </w:r>
    </w:p>
    <w:p w14:paraId="77D847FF" w14:textId="13E227CE" w:rsidR="00166236" w:rsidRDefault="008D4B0D" w:rsidP="008E2A80">
      <w:pPr>
        <w:spacing w:before="60" w:after="60"/>
        <w:jc w:val="both"/>
        <w:rPr>
          <w:rFonts w:cstheme="minorHAnsi"/>
          <w:lang w:val="en-GB"/>
        </w:rPr>
      </w:pPr>
      <w:r>
        <w:rPr>
          <w:rFonts w:cstheme="minorHAnsi"/>
          <w:lang w:val="en-GB"/>
        </w:rPr>
        <w:t>In Italy, a</w:t>
      </w:r>
      <w:r w:rsidR="00440567">
        <w:rPr>
          <w:rFonts w:cstheme="minorHAnsi"/>
          <w:lang w:val="en-GB"/>
        </w:rPr>
        <w:t>ccording to the Coop report 2017, food consumption patterns have radically changed over the last decades. Regardless of the slight increase in the expenditure for food that characterises the last few years</w:t>
      </w:r>
      <w:r w:rsidR="008E2A80">
        <w:rPr>
          <w:rFonts w:cstheme="minorHAnsi"/>
          <w:lang w:val="en-GB"/>
        </w:rPr>
        <w:t xml:space="preserve"> of economic upturn</w:t>
      </w:r>
      <w:r w:rsidR="00C438D8">
        <w:rPr>
          <w:rFonts w:cstheme="minorHAnsi"/>
          <w:lang w:val="en-GB"/>
        </w:rPr>
        <w:t>, Italian families have considerably modified the composition of the food shopping cart. Although marked differences exist a</w:t>
      </w:r>
      <w:r w:rsidR="005F038A">
        <w:rPr>
          <w:rFonts w:cstheme="minorHAnsi"/>
          <w:lang w:val="en-GB"/>
        </w:rPr>
        <w:t>ccording to macro-regional area,</w:t>
      </w:r>
      <w:r w:rsidR="00C438D8">
        <w:rPr>
          <w:rFonts w:cstheme="minorHAnsi"/>
          <w:lang w:val="en-GB"/>
        </w:rPr>
        <w:t xml:space="preserve"> these new patterns of food consumption can be summed up along three main dimensions</w:t>
      </w:r>
      <w:r w:rsidR="00AD57C5">
        <w:rPr>
          <w:rFonts w:cstheme="minorHAnsi"/>
          <w:lang w:val="en-GB"/>
        </w:rPr>
        <w:t xml:space="preserve"> (see also Belloni, 2014)</w:t>
      </w:r>
      <w:r w:rsidR="00C438D8">
        <w:rPr>
          <w:rFonts w:cstheme="minorHAnsi"/>
          <w:lang w:val="en-GB"/>
        </w:rPr>
        <w:t xml:space="preserve">: </w:t>
      </w:r>
    </w:p>
    <w:p w14:paraId="4D6F1ACE" w14:textId="5647D8DA" w:rsidR="00C438D8" w:rsidRDefault="008E2A80" w:rsidP="008E2A80">
      <w:pPr>
        <w:pStyle w:val="Paragrafoelenco"/>
        <w:numPr>
          <w:ilvl w:val="0"/>
          <w:numId w:val="5"/>
        </w:numPr>
        <w:spacing w:before="60" w:after="60"/>
        <w:ind w:left="851" w:hanging="425"/>
        <w:jc w:val="both"/>
        <w:rPr>
          <w:rFonts w:cstheme="minorHAnsi"/>
          <w:lang w:val="en-GB"/>
        </w:rPr>
      </w:pPr>
      <w:r w:rsidRPr="008E2A80">
        <w:rPr>
          <w:rFonts w:cstheme="minorHAnsi"/>
          <w:i/>
          <w:lang w:val="en-GB"/>
        </w:rPr>
        <w:t>Modification</w:t>
      </w:r>
      <w:r>
        <w:rPr>
          <w:rFonts w:cstheme="minorHAnsi"/>
          <w:lang w:val="en-GB"/>
        </w:rPr>
        <w:t xml:space="preserve"> </w:t>
      </w:r>
      <w:r w:rsidR="00B735B5">
        <w:rPr>
          <w:rFonts w:cstheme="minorHAnsi"/>
          <w:lang w:val="en-GB"/>
        </w:rPr>
        <w:t>of</w:t>
      </w:r>
      <w:r w:rsidR="005F038A">
        <w:rPr>
          <w:rFonts w:cstheme="minorHAnsi"/>
          <w:lang w:val="en-GB"/>
        </w:rPr>
        <w:t xml:space="preserve"> </w:t>
      </w:r>
      <w:r>
        <w:rPr>
          <w:rFonts w:cstheme="minorHAnsi"/>
          <w:lang w:val="en-GB"/>
        </w:rPr>
        <w:t>main food groups</w:t>
      </w:r>
      <w:r w:rsidR="00B735B5">
        <w:rPr>
          <w:rFonts w:cstheme="minorHAnsi"/>
          <w:lang w:val="en-GB"/>
        </w:rPr>
        <w:t xml:space="preserve">: compared to the 60s, fruit consumption has increased, </w:t>
      </w:r>
      <w:r w:rsidR="00B13E01">
        <w:rPr>
          <w:rFonts w:cstheme="minorHAnsi"/>
          <w:lang w:val="en-GB"/>
        </w:rPr>
        <w:t xml:space="preserve">white meats have partially replaced red meats, </w:t>
      </w:r>
      <w:r w:rsidR="0012173C">
        <w:rPr>
          <w:rFonts w:cstheme="minorHAnsi"/>
          <w:lang w:val="en-GB"/>
        </w:rPr>
        <w:t xml:space="preserve">carbohydrates, (especially in the form of </w:t>
      </w:r>
      <w:r w:rsidR="00B13E01">
        <w:rPr>
          <w:rFonts w:cstheme="minorHAnsi"/>
          <w:lang w:val="en-GB"/>
        </w:rPr>
        <w:t>pasta and bread</w:t>
      </w:r>
      <w:r w:rsidR="0012173C">
        <w:rPr>
          <w:rFonts w:cstheme="minorHAnsi"/>
          <w:lang w:val="en-GB"/>
        </w:rPr>
        <w:t>) are</w:t>
      </w:r>
      <w:r w:rsidR="00B13E01">
        <w:rPr>
          <w:rFonts w:cstheme="minorHAnsi"/>
          <w:lang w:val="en-GB"/>
        </w:rPr>
        <w:t xml:space="preserve"> decreas</w:t>
      </w:r>
      <w:r w:rsidR="0012173C">
        <w:rPr>
          <w:rFonts w:cstheme="minorHAnsi"/>
          <w:lang w:val="en-GB"/>
        </w:rPr>
        <w:t>ing</w:t>
      </w:r>
      <w:r w:rsidR="00B13E01">
        <w:rPr>
          <w:rFonts w:cstheme="minorHAnsi"/>
          <w:lang w:val="en-GB"/>
        </w:rPr>
        <w:t xml:space="preserve">.   </w:t>
      </w:r>
    </w:p>
    <w:p w14:paraId="14727E03" w14:textId="7353ABB1" w:rsidR="00C438D8" w:rsidRDefault="005F038A" w:rsidP="008E2A80">
      <w:pPr>
        <w:pStyle w:val="Paragrafoelenco"/>
        <w:numPr>
          <w:ilvl w:val="0"/>
          <w:numId w:val="5"/>
        </w:numPr>
        <w:spacing w:before="60" w:after="60"/>
        <w:ind w:left="851" w:hanging="425"/>
        <w:jc w:val="both"/>
        <w:rPr>
          <w:rFonts w:cstheme="minorHAnsi"/>
          <w:lang w:val="en-GB"/>
        </w:rPr>
      </w:pPr>
      <w:r w:rsidRPr="008E2A80">
        <w:rPr>
          <w:rFonts w:cstheme="minorHAnsi"/>
          <w:i/>
          <w:lang w:val="en-GB"/>
        </w:rPr>
        <w:t>Dilatation</w:t>
      </w:r>
      <w:r>
        <w:rPr>
          <w:rFonts w:cstheme="minorHAnsi"/>
          <w:lang w:val="en-GB"/>
        </w:rPr>
        <w:t xml:space="preserve"> of food preferences</w:t>
      </w:r>
      <w:r w:rsidR="008328E1">
        <w:rPr>
          <w:rFonts w:cstheme="minorHAnsi"/>
          <w:lang w:val="en-GB"/>
        </w:rPr>
        <w:t>: the report confirms the entrance of new food typologies and food</w:t>
      </w:r>
      <w:r w:rsidR="001B3C28">
        <w:rPr>
          <w:rFonts w:cstheme="minorHAnsi"/>
          <w:lang w:val="en-GB"/>
        </w:rPr>
        <w:t xml:space="preserve"> groups</w:t>
      </w:r>
      <w:r w:rsidR="008328E1">
        <w:rPr>
          <w:rFonts w:cstheme="minorHAnsi"/>
          <w:lang w:val="en-GB"/>
        </w:rPr>
        <w:t xml:space="preserve"> niches in the diet of many Italians. From 2010 to 2017 the purchasing of ethnic, ready-made, luxury (i.e. mushrooms, fish fillets, DOC wines) and therapeutic (e.g. superfood and sirt)</w:t>
      </w:r>
      <w:r w:rsidR="00C13B49">
        <w:rPr>
          <w:rFonts w:cstheme="minorHAnsi"/>
          <w:lang w:val="en-GB"/>
        </w:rPr>
        <w:t xml:space="preserve"> food has increased, although</w:t>
      </w:r>
      <w:r w:rsidR="001B3C28">
        <w:rPr>
          <w:rFonts w:cstheme="minorHAnsi"/>
          <w:lang w:val="en-GB"/>
        </w:rPr>
        <w:t xml:space="preserve"> the specific food products are subjected to volatile changes and can soon become démodé. </w:t>
      </w:r>
    </w:p>
    <w:p w14:paraId="523E4D21" w14:textId="17087014" w:rsidR="008D4B0D" w:rsidRDefault="005F038A" w:rsidP="008E2A80">
      <w:pPr>
        <w:pStyle w:val="Paragrafoelenco"/>
        <w:numPr>
          <w:ilvl w:val="0"/>
          <w:numId w:val="5"/>
        </w:numPr>
        <w:spacing w:before="60" w:after="60"/>
        <w:ind w:left="851" w:hanging="425"/>
        <w:jc w:val="both"/>
        <w:rPr>
          <w:rFonts w:cstheme="minorHAnsi"/>
          <w:lang w:val="en-GB"/>
        </w:rPr>
      </w:pPr>
      <w:r w:rsidRPr="00376BB0">
        <w:rPr>
          <w:rFonts w:cstheme="minorHAnsi"/>
          <w:i/>
          <w:lang w:val="en-GB"/>
        </w:rPr>
        <w:t>Renovation</w:t>
      </w:r>
      <w:r w:rsidRPr="00376BB0">
        <w:rPr>
          <w:rFonts w:cstheme="minorHAnsi"/>
          <w:lang w:val="en-GB"/>
        </w:rPr>
        <w:t xml:space="preserve"> of food values </w:t>
      </w:r>
      <w:r w:rsidR="008328E1" w:rsidRPr="00376BB0">
        <w:rPr>
          <w:rFonts w:cstheme="minorHAnsi"/>
          <w:lang w:val="en-GB"/>
        </w:rPr>
        <w:t xml:space="preserve">and </w:t>
      </w:r>
      <w:r w:rsidR="00B43365">
        <w:rPr>
          <w:rFonts w:cstheme="minorHAnsi"/>
          <w:lang w:val="en-GB"/>
        </w:rPr>
        <w:t>gastronomic horizons</w:t>
      </w:r>
      <w:r w:rsidR="008328E1" w:rsidRPr="00376BB0">
        <w:rPr>
          <w:rFonts w:cstheme="minorHAnsi"/>
          <w:lang w:val="en-GB"/>
        </w:rPr>
        <w:t xml:space="preserve">: </w:t>
      </w:r>
      <w:r w:rsidR="001B3C28" w:rsidRPr="00376BB0">
        <w:rPr>
          <w:rFonts w:cstheme="minorHAnsi"/>
          <w:lang w:val="en-GB"/>
        </w:rPr>
        <w:t xml:space="preserve">food now encapsulates different, sometimes contrasting, set of values. It becomes a means to express political awareness, status and/or </w:t>
      </w:r>
      <w:r w:rsidR="00376BB0" w:rsidRPr="00376BB0">
        <w:rPr>
          <w:rFonts w:cstheme="minorHAnsi"/>
          <w:lang w:val="en-GB"/>
        </w:rPr>
        <w:t xml:space="preserve">group identity. </w:t>
      </w:r>
      <w:r w:rsidR="00376BB0">
        <w:rPr>
          <w:rFonts w:cstheme="minorHAnsi"/>
          <w:lang w:val="en-GB"/>
        </w:rPr>
        <w:t>T</w:t>
      </w:r>
      <w:r w:rsidR="00376BB0" w:rsidRPr="00376BB0">
        <w:rPr>
          <w:rFonts w:cstheme="minorHAnsi"/>
          <w:lang w:val="en-GB"/>
        </w:rPr>
        <w:t>his scattered foodscape</w:t>
      </w:r>
      <w:r w:rsidR="00376BB0">
        <w:rPr>
          <w:rFonts w:cstheme="minorHAnsi"/>
          <w:lang w:val="en-GB"/>
        </w:rPr>
        <w:t xml:space="preserve"> combines or contrasts var</w:t>
      </w:r>
      <w:r w:rsidR="008D4B0D">
        <w:rPr>
          <w:rFonts w:cstheme="minorHAnsi"/>
          <w:lang w:val="en-GB"/>
        </w:rPr>
        <w:t>ious consumption dimensions, such as:</w:t>
      </w:r>
    </w:p>
    <w:p w14:paraId="5CA42314" w14:textId="2D84E7F4" w:rsidR="008D4B0D" w:rsidRDefault="008D4B0D" w:rsidP="008D4B0D">
      <w:pPr>
        <w:pStyle w:val="Paragrafoelenco"/>
        <w:numPr>
          <w:ilvl w:val="0"/>
          <w:numId w:val="6"/>
        </w:numPr>
        <w:spacing w:before="60" w:after="60"/>
        <w:ind w:left="1134" w:hanging="283"/>
        <w:jc w:val="both"/>
        <w:rPr>
          <w:rFonts w:cstheme="minorHAnsi"/>
          <w:lang w:val="en-GB"/>
        </w:rPr>
      </w:pPr>
      <w:r>
        <w:rPr>
          <w:rFonts w:cstheme="minorHAnsi"/>
          <w:lang w:val="en-GB"/>
        </w:rPr>
        <w:t>T</w:t>
      </w:r>
      <w:r w:rsidR="00376BB0">
        <w:rPr>
          <w:rFonts w:cstheme="minorHAnsi"/>
          <w:lang w:val="en-GB"/>
        </w:rPr>
        <w:t>he renowned attention to and increasing preference for local and organic food pr</w:t>
      </w:r>
      <w:r w:rsidR="00A23F71">
        <w:rPr>
          <w:rFonts w:cstheme="minorHAnsi"/>
          <w:lang w:val="en-GB"/>
        </w:rPr>
        <w:t>oducts</w:t>
      </w:r>
      <w:r w:rsidR="003A15E7">
        <w:rPr>
          <w:rFonts w:cstheme="minorHAnsi"/>
          <w:lang w:val="en-GB"/>
        </w:rPr>
        <w:t xml:space="preserve"> (40% and 70% of consumers prefer to acquire organic and</w:t>
      </w:r>
      <w:r w:rsidR="008817BE">
        <w:rPr>
          <w:rFonts w:cstheme="minorHAnsi"/>
          <w:lang w:val="en-GB"/>
        </w:rPr>
        <w:t xml:space="preserve"> local options respectively).</w:t>
      </w:r>
    </w:p>
    <w:p w14:paraId="4FCAC6DC" w14:textId="3F14F4E4" w:rsidR="008D4B0D" w:rsidRDefault="008D4B0D" w:rsidP="008D4B0D">
      <w:pPr>
        <w:pStyle w:val="Paragrafoelenco"/>
        <w:numPr>
          <w:ilvl w:val="0"/>
          <w:numId w:val="6"/>
        </w:numPr>
        <w:spacing w:before="60" w:after="60"/>
        <w:ind w:left="1134" w:hanging="283"/>
        <w:jc w:val="both"/>
        <w:rPr>
          <w:rFonts w:cstheme="minorHAnsi"/>
          <w:lang w:val="en-GB"/>
        </w:rPr>
      </w:pPr>
      <w:r>
        <w:rPr>
          <w:rFonts w:cstheme="minorHAnsi"/>
          <w:lang w:val="en-GB"/>
        </w:rPr>
        <w:t>T</w:t>
      </w:r>
      <w:r w:rsidR="00A23F71">
        <w:rPr>
          <w:rFonts w:cstheme="minorHAnsi"/>
          <w:lang w:val="en-GB"/>
        </w:rPr>
        <w:t>he attentive use of particular edib</w:t>
      </w:r>
      <w:r>
        <w:rPr>
          <w:rFonts w:cstheme="minorHAnsi"/>
          <w:lang w:val="en-GB"/>
        </w:rPr>
        <w:t>les as medical substitutes</w:t>
      </w:r>
      <w:r w:rsidR="008817BE">
        <w:rPr>
          <w:rFonts w:cstheme="minorHAnsi"/>
          <w:lang w:val="en-GB"/>
        </w:rPr>
        <w:t>.</w:t>
      </w:r>
    </w:p>
    <w:p w14:paraId="49E91110" w14:textId="036D9177" w:rsidR="008D4B0D" w:rsidRDefault="008D4B0D" w:rsidP="008D4B0D">
      <w:pPr>
        <w:pStyle w:val="Paragrafoelenco"/>
        <w:numPr>
          <w:ilvl w:val="0"/>
          <w:numId w:val="6"/>
        </w:numPr>
        <w:spacing w:before="60" w:after="60"/>
        <w:ind w:left="1134" w:hanging="283"/>
        <w:jc w:val="both"/>
        <w:rPr>
          <w:rFonts w:cstheme="minorHAnsi"/>
          <w:lang w:val="en-GB"/>
        </w:rPr>
      </w:pPr>
      <w:r>
        <w:rPr>
          <w:rFonts w:cstheme="minorHAnsi"/>
          <w:lang w:val="en-GB"/>
        </w:rPr>
        <w:t>The</w:t>
      </w:r>
      <w:r w:rsidR="00A23F71">
        <w:rPr>
          <w:rFonts w:cstheme="minorHAnsi"/>
          <w:lang w:val="en-GB"/>
        </w:rPr>
        <w:t xml:space="preserve"> consolidation of specific diet</w:t>
      </w:r>
      <w:r>
        <w:rPr>
          <w:rFonts w:cstheme="minorHAnsi"/>
          <w:lang w:val="en-GB"/>
        </w:rPr>
        <w:t>ary tribes (</w:t>
      </w:r>
      <w:r w:rsidR="00A23F71">
        <w:rPr>
          <w:rFonts w:cstheme="minorHAnsi"/>
          <w:lang w:val="en-GB"/>
        </w:rPr>
        <w:t>vegan</w:t>
      </w:r>
      <w:r w:rsidR="003A15E7">
        <w:rPr>
          <w:rFonts w:cstheme="minorHAnsi"/>
          <w:lang w:val="en-GB"/>
        </w:rPr>
        <w:t xml:space="preserve"> 1% to 3%</w:t>
      </w:r>
      <w:r w:rsidR="00A23F71">
        <w:rPr>
          <w:rFonts w:cstheme="minorHAnsi"/>
          <w:lang w:val="en-GB"/>
        </w:rPr>
        <w:t>, vegetarian</w:t>
      </w:r>
      <w:r w:rsidR="003A15E7">
        <w:rPr>
          <w:rFonts w:cstheme="minorHAnsi"/>
          <w:lang w:val="en-GB"/>
        </w:rPr>
        <w:t xml:space="preserve"> 4% to 7%)</w:t>
      </w:r>
      <w:r>
        <w:rPr>
          <w:rFonts w:cstheme="minorHAnsi"/>
          <w:lang w:val="en-GB"/>
        </w:rPr>
        <w:t xml:space="preserve"> and the emergence of </w:t>
      </w:r>
      <w:r w:rsidR="00B43365">
        <w:rPr>
          <w:rFonts w:cstheme="minorHAnsi"/>
          <w:lang w:val="en-GB"/>
        </w:rPr>
        <w:t xml:space="preserve">specific </w:t>
      </w:r>
      <w:r>
        <w:rPr>
          <w:rFonts w:cstheme="minorHAnsi"/>
          <w:lang w:val="en-GB"/>
        </w:rPr>
        <w:t>sub-groups (raw foodies, fruitarians, local-vories</w:t>
      </w:r>
      <w:r w:rsidR="00B43365">
        <w:rPr>
          <w:rFonts w:cstheme="minorHAnsi"/>
          <w:lang w:val="en-GB"/>
        </w:rPr>
        <w:t>, gluten free</w:t>
      </w:r>
      <w:r>
        <w:rPr>
          <w:rFonts w:cstheme="minorHAnsi"/>
          <w:lang w:val="en-GB"/>
        </w:rPr>
        <w:t xml:space="preserve"> etc.)</w:t>
      </w:r>
      <w:r w:rsidR="008817BE">
        <w:rPr>
          <w:rFonts w:cstheme="minorHAnsi"/>
          <w:lang w:val="en-GB"/>
        </w:rPr>
        <w:t>.</w:t>
      </w:r>
    </w:p>
    <w:p w14:paraId="783A7F00" w14:textId="7A278CDF" w:rsidR="00A23F71" w:rsidRDefault="00376BB0" w:rsidP="008D4B0D">
      <w:pPr>
        <w:pStyle w:val="Paragrafoelenco"/>
        <w:numPr>
          <w:ilvl w:val="0"/>
          <w:numId w:val="6"/>
        </w:numPr>
        <w:spacing w:before="60" w:after="60"/>
        <w:ind w:left="1134" w:hanging="283"/>
        <w:jc w:val="both"/>
        <w:rPr>
          <w:rFonts w:cstheme="minorHAnsi"/>
          <w:lang w:val="en-GB"/>
        </w:rPr>
      </w:pPr>
      <w:r w:rsidRPr="00376BB0">
        <w:rPr>
          <w:rFonts w:cstheme="minorHAnsi"/>
          <w:lang w:val="en-GB"/>
        </w:rPr>
        <w:t xml:space="preserve"> </w:t>
      </w:r>
      <w:r w:rsidR="008D4B0D">
        <w:rPr>
          <w:rFonts w:cstheme="minorHAnsi"/>
          <w:lang w:val="en-GB"/>
        </w:rPr>
        <w:t>The “fashionisation” of food</w:t>
      </w:r>
      <w:r w:rsidR="0012173C">
        <w:rPr>
          <w:rFonts w:cstheme="minorHAnsi"/>
          <w:lang w:val="en-GB"/>
        </w:rPr>
        <w:t>, namely the aesthetic digitalisation of meals on most commonly known social networks</w:t>
      </w:r>
      <w:r w:rsidR="008817BE">
        <w:rPr>
          <w:rFonts w:cstheme="minorHAnsi"/>
          <w:lang w:val="en-GB"/>
        </w:rPr>
        <w:t xml:space="preserve"> (1/4 Italians take pictures of food when eating out). </w:t>
      </w:r>
    </w:p>
    <w:p w14:paraId="13275314" w14:textId="209953C0" w:rsidR="00853BE0" w:rsidRDefault="008817BE" w:rsidP="00853BE0">
      <w:pPr>
        <w:spacing w:before="60" w:after="60"/>
        <w:jc w:val="both"/>
        <w:rPr>
          <w:rFonts w:cstheme="minorHAnsi"/>
          <w:lang w:val="en-GB"/>
        </w:rPr>
      </w:pPr>
      <w:r>
        <w:rPr>
          <w:rFonts w:cstheme="minorHAnsi"/>
          <w:lang w:val="en-GB"/>
        </w:rPr>
        <w:t xml:space="preserve">Although these trends may </w:t>
      </w:r>
      <w:r w:rsidR="008D3EF2">
        <w:rPr>
          <w:rFonts w:cstheme="minorHAnsi"/>
          <w:lang w:val="en-GB"/>
        </w:rPr>
        <w:t xml:space="preserve">generally </w:t>
      </w:r>
      <w:r>
        <w:rPr>
          <w:rFonts w:cstheme="minorHAnsi"/>
          <w:lang w:val="en-GB"/>
        </w:rPr>
        <w:t xml:space="preserve">characterise the Italian foodscape, it is crucial to keep in mind that socioeconomic gradients shape consumption patterns. Food is a highly stratified social realm, and cannot be fully understood without highlighting how different milieus are associated to several facets of food consumption. </w:t>
      </w:r>
      <w:r w:rsidR="00853BE0" w:rsidRPr="006013B3">
        <w:rPr>
          <w:rFonts w:cstheme="minorHAnsi"/>
          <w:lang w:val="en-GB"/>
        </w:rPr>
        <w:t>Empirical inquiries pointed out that cultural consumption in general, and food consumption in particular are strict</w:t>
      </w:r>
      <w:r w:rsidR="00853BE0">
        <w:rPr>
          <w:rFonts w:cstheme="minorHAnsi"/>
          <w:lang w:val="en-GB"/>
        </w:rPr>
        <w:t>ly tied to families’ resources. S</w:t>
      </w:r>
      <w:r w:rsidR="00853BE0" w:rsidRPr="006013B3">
        <w:rPr>
          <w:rFonts w:cstheme="minorHAnsi"/>
          <w:lang w:val="en-GB"/>
        </w:rPr>
        <w:t xml:space="preserve">ociologists have scrutinised food </w:t>
      </w:r>
      <w:r w:rsidR="00853BE0">
        <w:rPr>
          <w:rFonts w:cstheme="minorHAnsi"/>
          <w:lang w:val="en-GB"/>
        </w:rPr>
        <w:t>consumption</w:t>
      </w:r>
      <w:r w:rsidR="00853BE0" w:rsidRPr="006013B3">
        <w:rPr>
          <w:rFonts w:cstheme="minorHAnsi"/>
          <w:lang w:val="en-GB"/>
        </w:rPr>
        <w:t xml:space="preserve"> from several angles, from purchasing to ingesting, passing through alternative provisions, eating out, and feeding. This exceptional bulk of research produced substantive evidence which can be summed up in four core findings.</w:t>
      </w:r>
    </w:p>
    <w:p w14:paraId="66AAE102" w14:textId="77777777" w:rsidR="00853BE0" w:rsidRDefault="00853BE0" w:rsidP="00853BE0">
      <w:pPr>
        <w:spacing w:before="60" w:after="60"/>
        <w:jc w:val="both"/>
        <w:rPr>
          <w:rFonts w:cstheme="minorHAnsi"/>
          <w:lang w:val="en-GB"/>
        </w:rPr>
      </w:pPr>
      <w:r w:rsidRPr="006013B3">
        <w:rPr>
          <w:rFonts w:cstheme="minorHAnsi"/>
          <w:lang w:val="en-GB"/>
        </w:rPr>
        <w:t>First, food is an important means through which familial, ethnic, and class identities are expressed and intertwined, and inequalities reproduced (Warde, 1997; O’Connell, 2010; Wills et al., 2011).</w:t>
      </w:r>
    </w:p>
    <w:p w14:paraId="4486F327" w14:textId="77777777" w:rsidR="00853BE0" w:rsidRDefault="00853BE0" w:rsidP="00853BE0">
      <w:pPr>
        <w:spacing w:before="60" w:after="60"/>
        <w:jc w:val="both"/>
        <w:rPr>
          <w:rFonts w:cstheme="minorHAnsi"/>
          <w:lang w:val="en-GB"/>
        </w:rPr>
      </w:pPr>
      <w:r w:rsidRPr="006013B3">
        <w:rPr>
          <w:rFonts w:cstheme="minorHAnsi"/>
          <w:lang w:val="en-GB"/>
        </w:rPr>
        <w:t>Second and strictly tied to this, food is linked to the social stratification of health status</w:t>
      </w:r>
      <w:r>
        <w:rPr>
          <w:rFonts w:cstheme="minorHAnsi"/>
          <w:lang w:val="en-GB"/>
        </w:rPr>
        <w:t>,</w:t>
      </w:r>
      <w:r w:rsidRPr="006013B3">
        <w:rPr>
          <w:rFonts w:cstheme="minorHAnsi"/>
          <w:lang w:val="en-GB"/>
        </w:rPr>
        <w:t xml:space="preserve"> as nutrition inequalities give rise to health-related conditions: for instance, in high-income countries obesity is more prevalent among lower social classes (Gallus et al., 2015; Barriuso et al., 2015). In fact, diet quality is related </w:t>
      </w:r>
      <w:r w:rsidRPr="006013B3">
        <w:rPr>
          <w:rFonts w:cstheme="minorHAnsi"/>
          <w:lang w:val="en-GB"/>
        </w:rPr>
        <w:lastRenderedPageBreak/>
        <w:t>to families’ economic and ecological opportunities, which in turn affect the symbolic value they attach to food and dietary concerns (Fielding-Singh, 2017).</w:t>
      </w:r>
    </w:p>
    <w:p w14:paraId="082AE874" w14:textId="77777777" w:rsidR="00853BE0" w:rsidRPr="006013B3" w:rsidRDefault="00853BE0" w:rsidP="00853BE0">
      <w:pPr>
        <w:spacing w:before="60" w:after="60"/>
        <w:jc w:val="both"/>
        <w:rPr>
          <w:rFonts w:cstheme="minorHAnsi"/>
          <w:lang w:val="en-GB"/>
        </w:rPr>
      </w:pPr>
      <w:r w:rsidRPr="006013B3">
        <w:rPr>
          <w:rFonts w:cstheme="minorHAnsi"/>
          <w:lang w:val="en-GB"/>
        </w:rPr>
        <w:t>Third, the (debated, see Lizardo and Skiles, 2015) contemporary shift of upper social groups towards more omnivorous and apparently open-minded pa</w:t>
      </w:r>
      <w:r>
        <w:rPr>
          <w:rFonts w:cstheme="minorHAnsi"/>
          <w:lang w:val="en-GB"/>
        </w:rPr>
        <w:t xml:space="preserve">tterns of cultural consumption </w:t>
      </w:r>
      <w:r w:rsidRPr="006013B3">
        <w:rPr>
          <w:rFonts w:cstheme="minorHAnsi"/>
          <w:lang w:val="en-GB"/>
        </w:rPr>
        <w:t>assumes in the case of food a variety of traits. Authenticity, simplicity, exoticism and sustainability are the keywords describing the characteristics of eating and feeding among dominants classes (Johnston and Baumann, 2010; Cairns, J</w:t>
      </w:r>
      <w:r>
        <w:rPr>
          <w:rFonts w:cstheme="minorHAnsi"/>
          <w:lang w:val="en-GB"/>
        </w:rPr>
        <w:t xml:space="preserve">ohnston and MacKendrick, 2013). </w:t>
      </w:r>
      <w:r w:rsidRPr="006013B3">
        <w:rPr>
          <w:rFonts w:cstheme="minorHAnsi"/>
          <w:lang w:val="en-GB"/>
        </w:rPr>
        <w:t>Thus, the ostensible horizontality of this eclectic and cosmopolitan taste hides the ultimate resorts of distinction (Warde et al., 2007; Paddock, 2016) which become evident in grocery store hierarchies and classed depiction of discount grocers (Cairns and Johnston, 2015). The process of symbolic di-vision in the social space is then relocated in the metropolitan space as neighbourhood privilege, through environmental and food gentrification processes (Zukin, 2008; Anguelovski, 2015).</w:t>
      </w:r>
    </w:p>
    <w:p w14:paraId="7B2B97E6" w14:textId="391B526F" w:rsidR="00853BE0" w:rsidRDefault="00853BE0" w:rsidP="00853BE0">
      <w:pPr>
        <w:spacing w:before="60" w:after="60"/>
        <w:jc w:val="both"/>
        <w:rPr>
          <w:rFonts w:cstheme="minorHAnsi"/>
          <w:lang w:val="en-GB"/>
        </w:rPr>
      </w:pPr>
      <w:r w:rsidRPr="00163950">
        <w:rPr>
          <w:rFonts w:cstheme="minorHAnsi"/>
          <w:lang w:val="en-GB"/>
        </w:rPr>
        <w:t>Fourth, despite in Western societies female participation in the labour market has constantly increased over the last 50 years, food management in the domestic environment remains a gendered task (DeVault, 1994; Valentine, 1999). This is particularly the case in Italy, a country predominantly characterized by the breadwinner model and unbalanced household arrangements (Esping-Andersen, 2012).</w:t>
      </w:r>
    </w:p>
    <w:p w14:paraId="3509BAA8" w14:textId="1333D11D" w:rsidR="002B2F72" w:rsidRDefault="00853BE0" w:rsidP="006013B3">
      <w:pPr>
        <w:spacing w:before="60" w:after="60"/>
        <w:jc w:val="both"/>
        <w:rPr>
          <w:rFonts w:cstheme="minorHAnsi"/>
          <w:lang w:val="en-GB"/>
        </w:rPr>
      </w:pPr>
      <w:r w:rsidRPr="008770F0">
        <w:rPr>
          <w:rFonts w:cstheme="minorHAnsi"/>
          <w:lang w:val="en-GB"/>
        </w:rPr>
        <w:t xml:space="preserve">Keeping this in mind, </w:t>
      </w:r>
      <w:r w:rsidR="008817BE">
        <w:rPr>
          <w:rFonts w:cstheme="minorHAnsi"/>
          <w:lang w:val="en-GB"/>
        </w:rPr>
        <w:t xml:space="preserve">here below we briefly present the results of </w:t>
      </w:r>
      <w:r w:rsidR="00E96396">
        <w:rPr>
          <w:rFonts w:cstheme="minorHAnsi"/>
          <w:lang w:val="en-GB"/>
        </w:rPr>
        <w:t>a descriptive</w:t>
      </w:r>
      <w:r w:rsidR="008817BE">
        <w:rPr>
          <w:rFonts w:cstheme="minorHAnsi"/>
          <w:lang w:val="en-GB"/>
        </w:rPr>
        <w:t xml:space="preserve"> analysis conducted on two survey</w:t>
      </w:r>
      <w:r w:rsidR="00E46D33">
        <w:rPr>
          <w:rFonts w:cstheme="minorHAnsi"/>
          <w:lang w:val="en-GB"/>
        </w:rPr>
        <w:t>s</w:t>
      </w:r>
      <w:r w:rsidR="008817BE">
        <w:rPr>
          <w:rFonts w:cstheme="minorHAnsi"/>
          <w:lang w:val="en-GB"/>
        </w:rPr>
        <w:t xml:space="preserve"> of the Italian Statistical Institute</w:t>
      </w:r>
      <w:r w:rsidR="00E46D33">
        <w:rPr>
          <w:rFonts w:cstheme="minorHAnsi"/>
          <w:lang w:val="en-GB"/>
        </w:rPr>
        <w:t xml:space="preserve"> (ISTAT)</w:t>
      </w:r>
      <w:r w:rsidR="009F5873">
        <w:rPr>
          <w:rFonts w:cstheme="minorHAnsi"/>
          <w:lang w:val="en-GB"/>
        </w:rPr>
        <w:t>.</w:t>
      </w:r>
      <w:r w:rsidR="006635D9">
        <w:rPr>
          <w:rFonts w:cstheme="minorHAnsi"/>
          <w:lang w:val="en-GB"/>
        </w:rPr>
        <w:t xml:space="preserve"> These two surveys </w:t>
      </w:r>
      <w:r w:rsidR="00EE61A2">
        <w:rPr>
          <w:rFonts w:cstheme="minorHAnsi"/>
          <w:lang w:val="en-GB"/>
        </w:rPr>
        <w:t xml:space="preserve">serve as an example to reflect on the stratification of </w:t>
      </w:r>
      <w:r w:rsidR="009F5873">
        <w:rPr>
          <w:rFonts w:cstheme="minorHAnsi"/>
          <w:lang w:val="en-GB"/>
        </w:rPr>
        <w:t xml:space="preserve">i) store access and ii) </w:t>
      </w:r>
      <w:r w:rsidR="006635D9">
        <w:rPr>
          <w:rFonts w:cstheme="minorHAnsi"/>
          <w:lang w:val="en-GB"/>
        </w:rPr>
        <w:t>sus</w:t>
      </w:r>
      <w:r w:rsidR="00D05120">
        <w:rPr>
          <w:rFonts w:cstheme="minorHAnsi"/>
          <w:lang w:val="en-GB"/>
        </w:rPr>
        <w:t>tainable consumption behaviours</w:t>
      </w:r>
      <w:r w:rsidR="00EE61A2">
        <w:rPr>
          <w:rFonts w:cstheme="minorHAnsi"/>
          <w:lang w:val="en-GB"/>
        </w:rPr>
        <w:t xml:space="preserve">. </w:t>
      </w:r>
    </w:p>
    <w:p w14:paraId="45EA0F90" w14:textId="5F4BCE94" w:rsidR="008770F0" w:rsidRDefault="008770F0" w:rsidP="006013B3">
      <w:pPr>
        <w:spacing w:before="60" w:after="60"/>
        <w:jc w:val="both"/>
        <w:rPr>
          <w:rFonts w:cstheme="minorHAnsi"/>
          <w:lang w:val="en-GB"/>
        </w:rPr>
      </w:pPr>
    </w:p>
    <w:p w14:paraId="431184A7" w14:textId="7776BFFD" w:rsidR="008770F0" w:rsidRPr="00F0062A" w:rsidRDefault="008770F0" w:rsidP="008770F0">
      <w:pPr>
        <w:pStyle w:val="Titolo3"/>
        <w:spacing w:before="60" w:after="60"/>
        <w:jc w:val="both"/>
        <w:rPr>
          <w:rFonts w:asciiTheme="minorHAnsi" w:hAnsiTheme="minorHAnsi" w:cstheme="minorHAnsi"/>
          <w:i/>
          <w:lang w:val="en-GB"/>
        </w:rPr>
      </w:pPr>
      <w:r>
        <w:rPr>
          <w:rFonts w:asciiTheme="minorHAnsi" w:hAnsiTheme="minorHAnsi" w:cstheme="minorHAnsi"/>
          <w:i/>
          <w:lang w:val="en-GB"/>
        </w:rPr>
        <w:t>3.1</w:t>
      </w:r>
      <w:r w:rsidRPr="00F0062A">
        <w:rPr>
          <w:rFonts w:asciiTheme="minorHAnsi" w:hAnsiTheme="minorHAnsi" w:cstheme="minorHAnsi"/>
          <w:i/>
          <w:lang w:val="en-GB"/>
        </w:rPr>
        <w:t xml:space="preserve"> </w:t>
      </w:r>
      <w:r>
        <w:rPr>
          <w:rFonts w:asciiTheme="minorHAnsi" w:hAnsiTheme="minorHAnsi" w:cstheme="minorHAnsi"/>
          <w:i/>
          <w:lang w:val="en-GB"/>
        </w:rPr>
        <w:t>Store Access</w:t>
      </w:r>
    </w:p>
    <w:p w14:paraId="28805042" w14:textId="74EC13ED" w:rsidR="00EE61A2" w:rsidRDefault="005E3B1F" w:rsidP="008E2A80">
      <w:pPr>
        <w:spacing w:before="60" w:after="60"/>
        <w:jc w:val="both"/>
        <w:rPr>
          <w:rFonts w:cstheme="minorHAnsi"/>
          <w:lang w:val="en-GB"/>
        </w:rPr>
      </w:pPr>
      <w:r>
        <w:rPr>
          <w:rFonts w:cstheme="minorHAnsi"/>
          <w:lang w:val="en-GB"/>
        </w:rPr>
        <w:t>First</w:t>
      </w:r>
      <w:r w:rsidR="00F56B04">
        <w:rPr>
          <w:rFonts w:cstheme="minorHAnsi"/>
          <w:lang w:val="en-GB"/>
        </w:rPr>
        <w:t xml:space="preserve">, using the </w:t>
      </w:r>
      <w:r w:rsidR="00B560A1">
        <w:rPr>
          <w:rFonts w:cstheme="minorHAnsi"/>
          <w:lang w:val="en-GB"/>
        </w:rPr>
        <w:t>Survey on Household Consumption (SHC)</w:t>
      </w:r>
      <w:r w:rsidR="00EE61A2">
        <w:rPr>
          <w:rFonts w:cstheme="minorHAnsi"/>
          <w:lang w:val="en-GB"/>
        </w:rPr>
        <w:t xml:space="preserve"> 2012</w:t>
      </w:r>
      <w:r w:rsidR="00B560A1">
        <w:rPr>
          <w:rFonts w:cstheme="minorHAnsi"/>
          <w:lang w:val="en-GB"/>
        </w:rPr>
        <w:t xml:space="preserve">, we can get a hint on the stratification of store access. </w:t>
      </w:r>
      <w:r w:rsidR="00CE55AA">
        <w:rPr>
          <w:rFonts w:cstheme="minorHAnsi"/>
          <w:lang w:val="en-GB"/>
        </w:rPr>
        <w:t xml:space="preserve">The analytical sample includes all families where the referral person is older than 25 and consists of 13,835 units. </w:t>
      </w:r>
      <w:r w:rsidR="00B560A1" w:rsidRPr="00B560A1">
        <w:rPr>
          <w:rFonts w:cstheme="minorHAnsi"/>
          <w:lang w:val="en-GB"/>
        </w:rPr>
        <w:t>In the survey, the referral person is asked to state where does the family usually buy bread, pasta, meat, fish, fruit and vegetables.</w:t>
      </w:r>
      <w:r w:rsidR="00CE55AA">
        <w:rPr>
          <w:rFonts w:cstheme="minorHAnsi"/>
          <w:lang w:val="en-GB"/>
        </w:rPr>
        <w:t xml:space="preserve"> </w:t>
      </w:r>
      <w:r w:rsidR="00B560A1" w:rsidRPr="00B560A1">
        <w:rPr>
          <w:rFonts w:cstheme="minorHAnsi"/>
          <w:lang w:val="en-GB"/>
        </w:rPr>
        <w:t>Possible answers to</w:t>
      </w:r>
      <w:r w:rsidR="00243285">
        <w:rPr>
          <w:rFonts w:cstheme="minorHAnsi"/>
          <w:lang w:val="en-GB"/>
        </w:rPr>
        <w:t xml:space="preserve"> each edible are: hard discount</w:t>
      </w:r>
      <w:r w:rsidR="00B560A1" w:rsidRPr="00B560A1">
        <w:rPr>
          <w:rFonts w:cstheme="minorHAnsi"/>
          <w:lang w:val="en-GB"/>
        </w:rPr>
        <w:t xml:space="preserve">, supermarket, hypermarket, traditional shop and street market. </w:t>
      </w:r>
      <w:r w:rsidR="00EE61A2">
        <w:rPr>
          <w:rFonts w:cstheme="minorHAnsi"/>
          <w:lang w:val="en-GB"/>
        </w:rPr>
        <w:t>Table x below illustrates some descriptive statist</w:t>
      </w:r>
      <w:r w:rsidR="00CE55AA">
        <w:rPr>
          <w:rFonts w:cstheme="minorHAnsi"/>
          <w:lang w:val="en-GB"/>
        </w:rPr>
        <w:t>ics for each edible considered</w:t>
      </w:r>
      <w:r w:rsidR="0026569F">
        <w:rPr>
          <w:rFonts w:cstheme="minorHAnsi"/>
          <w:lang w:val="en-GB"/>
        </w:rPr>
        <w:t>, which all in all confirm on the consumer side what already seen on the distribution side</w:t>
      </w:r>
      <w:r w:rsidR="00CE55AA">
        <w:rPr>
          <w:rFonts w:cstheme="minorHAnsi"/>
          <w:lang w:val="en-GB"/>
        </w:rPr>
        <w:t xml:space="preserve">. </w:t>
      </w:r>
      <w:r w:rsidR="0026569F">
        <w:rPr>
          <w:rFonts w:cstheme="minorHAnsi"/>
          <w:lang w:val="en-GB"/>
        </w:rPr>
        <w:t>Three</w:t>
      </w:r>
      <w:r w:rsidR="00CE55AA">
        <w:rPr>
          <w:rFonts w:cstheme="minorHAnsi"/>
          <w:lang w:val="en-GB"/>
        </w:rPr>
        <w:t xml:space="preserve"> considerations are in order: first, traditional shops are still a relevant force at play, with percentages ranging from 9% f</w:t>
      </w:r>
      <w:r w:rsidR="00714A7A">
        <w:rPr>
          <w:rFonts w:cstheme="minorHAnsi"/>
          <w:lang w:val="en-GB"/>
        </w:rPr>
        <w:t>or pasta (usually acquired in</w:t>
      </w:r>
      <w:r w:rsidR="00CE55AA">
        <w:rPr>
          <w:rFonts w:cstheme="minorHAnsi"/>
          <w:lang w:val="en-GB"/>
        </w:rPr>
        <w:t xml:space="preserve"> supermarket</w:t>
      </w:r>
      <w:r w:rsidR="00714A7A">
        <w:rPr>
          <w:rFonts w:cstheme="minorHAnsi"/>
          <w:lang w:val="en-GB"/>
        </w:rPr>
        <w:t>s</w:t>
      </w:r>
      <w:r w:rsidR="00CE55AA">
        <w:rPr>
          <w:rFonts w:cstheme="minorHAnsi"/>
          <w:lang w:val="en-GB"/>
        </w:rPr>
        <w:t xml:space="preserve">), to 45% for bread. Second, street markets are </w:t>
      </w:r>
      <w:r w:rsidR="0026569F">
        <w:rPr>
          <w:rFonts w:cstheme="minorHAnsi"/>
          <w:lang w:val="en-GB"/>
        </w:rPr>
        <w:t>almost exclusively</w:t>
      </w:r>
      <w:r w:rsidR="00CE55AA">
        <w:rPr>
          <w:rFonts w:cstheme="minorHAnsi"/>
          <w:lang w:val="en-GB"/>
        </w:rPr>
        <w:t xml:space="preserve"> used to purchase fruit and vegetab</w:t>
      </w:r>
      <w:r w:rsidR="00714A7A">
        <w:rPr>
          <w:rFonts w:cstheme="minorHAnsi"/>
          <w:lang w:val="en-GB"/>
        </w:rPr>
        <w:t>les</w:t>
      </w:r>
      <w:r w:rsidR="0026569F">
        <w:rPr>
          <w:rFonts w:cstheme="minorHAnsi"/>
          <w:lang w:val="en-GB"/>
        </w:rPr>
        <w:t xml:space="preserve">. Third, supermarkets are the stores most often attended to purchase commonly consumed groceries. </w:t>
      </w:r>
    </w:p>
    <w:tbl>
      <w:tblPr>
        <w:tblW w:w="5000" w:type="pct"/>
        <w:tblCellMar>
          <w:left w:w="70" w:type="dxa"/>
          <w:right w:w="70" w:type="dxa"/>
        </w:tblCellMar>
        <w:tblLook w:val="04A0" w:firstRow="1" w:lastRow="0" w:firstColumn="1" w:lastColumn="0" w:noHBand="0" w:noVBand="1"/>
      </w:tblPr>
      <w:tblGrid>
        <w:gridCol w:w="4093"/>
        <w:gridCol w:w="915"/>
        <w:gridCol w:w="915"/>
        <w:gridCol w:w="915"/>
        <w:gridCol w:w="916"/>
        <w:gridCol w:w="2024"/>
      </w:tblGrid>
      <w:tr w:rsidR="00EE61A2" w:rsidRPr="00EE61A2" w14:paraId="62E6632E" w14:textId="77777777" w:rsidTr="00EE61A2">
        <w:trPr>
          <w:trHeight w:val="300"/>
        </w:trPr>
        <w:tc>
          <w:tcPr>
            <w:tcW w:w="2096" w:type="pct"/>
            <w:tcBorders>
              <w:top w:val="nil"/>
              <w:left w:val="nil"/>
              <w:bottom w:val="single" w:sz="4" w:space="0" w:color="auto"/>
              <w:right w:val="nil"/>
            </w:tcBorders>
            <w:shd w:val="clear" w:color="auto" w:fill="auto"/>
            <w:noWrap/>
            <w:vAlign w:val="bottom"/>
            <w:hideMark/>
          </w:tcPr>
          <w:p w14:paraId="67915AB4" w14:textId="77777777" w:rsidR="00EE61A2" w:rsidRPr="00EE61A2" w:rsidRDefault="00EE61A2" w:rsidP="00EE61A2">
            <w:pPr>
              <w:spacing w:after="0" w:line="240" w:lineRule="auto"/>
              <w:rPr>
                <w:rFonts w:ascii="Times New Roman" w:eastAsia="Times New Roman" w:hAnsi="Times New Roman" w:cs="Times New Roman"/>
                <w:sz w:val="24"/>
                <w:szCs w:val="24"/>
                <w:lang w:val="en-GB" w:eastAsia="it-IT"/>
              </w:rPr>
            </w:pPr>
          </w:p>
        </w:tc>
        <w:tc>
          <w:tcPr>
            <w:tcW w:w="472" w:type="pct"/>
            <w:tcBorders>
              <w:top w:val="nil"/>
              <w:left w:val="nil"/>
              <w:bottom w:val="single" w:sz="4" w:space="0" w:color="auto"/>
              <w:right w:val="nil"/>
            </w:tcBorders>
            <w:shd w:val="clear" w:color="auto" w:fill="auto"/>
            <w:noWrap/>
            <w:vAlign w:val="bottom"/>
            <w:hideMark/>
          </w:tcPr>
          <w:p w14:paraId="4E518F32" w14:textId="77777777" w:rsidR="00EE61A2" w:rsidRPr="00EE61A2" w:rsidRDefault="00EE61A2" w:rsidP="00EE61A2">
            <w:pPr>
              <w:spacing w:after="0" w:line="240" w:lineRule="auto"/>
              <w:rPr>
                <w:rFonts w:ascii="Calibri" w:eastAsia="Times New Roman" w:hAnsi="Calibri" w:cs="Calibri"/>
                <w:b/>
                <w:color w:val="000000"/>
                <w:lang w:eastAsia="it-IT"/>
              </w:rPr>
            </w:pPr>
            <w:r w:rsidRPr="00EE61A2">
              <w:rPr>
                <w:rFonts w:ascii="Calibri" w:eastAsia="Times New Roman" w:hAnsi="Calibri" w:cs="Calibri"/>
                <w:b/>
                <w:color w:val="000000"/>
                <w:lang w:eastAsia="it-IT"/>
              </w:rPr>
              <w:t>Bread</w:t>
            </w:r>
          </w:p>
        </w:tc>
        <w:tc>
          <w:tcPr>
            <w:tcW w:w="472" w:type="pct"/>
            <w:tcBorders>
              <w:top w:val="nil"/>
              <w:left w:val="nil"/>
              <w:bottom w:val="single" w:sz="4" w:space="0" w:color="auto"/>
              <w:right w:val="nil"/>
            </w:tcBorders>
            <w:shd w:val="clear" w:color="auto" w:fill="auto"/>
            <w:noWrap/>
            <w:vAlign w:val="bottom"/>
            <w:hideMark/>
          </w:tcPr>
          <w:p w14:paraId="29EF48E8" w14:textId="77777777" w:rsidR="00EE61A2" w:rsidRPr="00EE61A2" w:rsidRDefault="00EE61A2" w:rsidP="00EE61A2">
            <w:pPr>
              <w:spacing w:after="0" w:line="240" w:lineRule="auto"/>
              <w:rPr>
                <w:rFonts w:ascii="Calibri" w:eastAsia="Times New Roman" w:hAnsi="Calibri" w:cs="Calibri"/>
                <w:b/>
                <w:color w:val="000000"/>
                <w:lang w:eastAsia="it-IT"/>
              </w:rPr>
            </w:pPr>
            <w:r w:rsidRPr="00EE61A2">
              <w:rPr>
                <w:rFonts w:ascii="Calibri" w:eastAsia="Times New Roman" w:hAnsi="Calibri" w:cs="Calibri"/>
                <w:b/>
                <w:color w:val="000000"/>
                <w:lang w:eastAsia="it-IT"/>
              </w:rPr>
              <w:t>Pasta</w:t>
            </w:r>
          </w:p>
        </w:tc>
        <w:tc>
          <w:tcPr>
            <w:tcW w:w="472" w:type="pct"/>
            <w:tcBorders>
              <w:top w:val="nil"/>
              <w:left w:val="nil"/>
              <w:bottom w:val="single" w:sz="4" w:space="0" w:color="auto"/>
              <w:right w:val="nil"/>
            </w:tcBorders>
            <w:shd w:val="clear" w:color="auto" w:fill="auto"/>
            <w:noWrap/>
            <w:vAlign w:val="bottom"/>
            <w:hideMark/>
          </w:tcPr>
          <w:p w14:paraId="5BCCBAA8" w14:textId="77777777" w:rsidR="00EE61A2" w:rsidRPr="00EE61A2" w:rsidRDefault="00EE61A2" w:rsidP="00EE61A2">
            <w:pPr>
              <w:spacing w:after="0" w:line="240" w:lineRule="auto"/>
              <w:rPr>
                <w:rFonts w:ascii="Calibri" w:eastAsia="Times New Roman" w:hAnsi="Calibri" w:cs="Calibri"/>
                <w:b/>
                <w:color w:val="000000"/>
                <w:lang w:eastAsia="it-IT"/>
              </w:rPr>
            </w:pPr>
            <w:r w:rsidRPr="00EE61A2">
              <w:rPr>
                <w:rFonts w:ascii="Calibri" w:eastAsia="Times New Roman" w:hAnsi="Calibri" w:cs="Calibri"/>
                <w:b/>
                <w:color w:val="000000"/>
                <w:lang w:eastAsia="it-IT"/>
              </w:rPr>
              <w:t>Meat</w:t>
            </w:r>
          </w:p>
        </w:tc>
        <w:tc>
          <w:tcPr>
            <w:tcW w:w="472" w:type="pct"/>
            <w:tcBorders>
              <w:top w:val="nil"/>
              <w:left w:val="nil"/>
              <w:bottom w:val="single" w:sz="4" w:space="0" w:color="auto"/>
              <w:right w:val="nil"/>
            </w:tcBorders>
            <w:shd w:val="clear" w:color="auto" w:fill="auto"/>
            <w:noWrap/>
            <w:vAlign w:val="bottom"/>
            <w:hideMark/>
          </w:tcPr>
          <w:p w14:paraId="582198B8" w14:textId="77777777" w:rsidR="00EE61A2" w:rsidRPr="00EE61A2" w:rsidRDefault="00EE61A2" w:rsidP="00EE61A2">
            <w:pPr>
              <w:spacing w:after="0" w:line="240" w:lineRule="auto"/>
              <w:rPr>
                <w:rFonts w:ascii="Calibri" w:eastAsia="Times New Roman" w:hAnsi="Calibri" w:cs="Calibri"/>
                <w:b/>
                <w:color w:val="000000"/>
                <w:lang w:eastAsia="it-IT"/>
              </w:rPr>
            </w:pPr>
            <w:r w:rsidRPr="00EE61A2">
              <w:rPr>
                <w:rFonts w:ascii="Calibri" w:eastAsia="Times New Roman" w:hAnsi="Calibri" w:cs="Calibri"/>
                <w:b/>
                <w:color w:val="000000"/>
                <w:lang w:eastAsia="it-IT"/>
              </w:rPr>
              <w:t>Fish</w:t>
            </w:r>
          </w:p>
        </w:tc>
        <w:tc>
          <w:tcPr>
            <w:tcW w:w="1014" w:type="pct"/>
            <w:tcBorders>
              <w:top w:val="nil"/>
              <w:left w:val="nil"/>
              <w:bottom w:val="single" w:sz="4" w:space="0" w:color="auto"/>
              <w:right w:val="nil"/>
            </w:tcBorders>
            <w:shd w:val="clear" w:color="auto" w:fill="auto"/>
            <w:noWrap/>
            <w:vAlign w:val="bottom"/>
            <w:hideMark/>
          </w:tcPr>
          <w:p w14:paraId="1BECB4F2" w14:textId="77777777" w:rsidR="00EE61A2" w:rsidRPr="00EE61A2" w:rsidRDefault="00EE61A2" w:rsidP="00EE61A2">
            <w:pPr>
              <w:spacing w:after="0" w:line="240" w:lineRule="auto"/>
              <w:rPr>
                <w:rFonts w:ascii="Calibri" w:eastAsia="Times New Roman" w:hAnsi="Calibri" w:cs="Calibri"/>
                <w:b/>
                <w:color w:val="000000"/>
                <w:lang w:eastAsia="it-IT"/>
              </w:rPr>
            </w:pPr>
            <w:r w:rsidRPr="00EE61A2">
              <w:rPr>
                <w:rFonts w:ascii="Calibri" w:eastAsia="Times New Roman" w:hAnsi="Calibri" w:cs="Calibri"/>
                <w:b/>
                <w:color w:val="000000"/>
                <w:lang w:eastAsia="it-IT"/>
              </w:rPr>
              <w:t>Fruit and Vegetables</w:t>
            </w:r>
          </w:p>
        </w:tc>
      </w:tr>
      <w:tr w:rsidR="00EE61A2" w:rsidRPr="00EE61A2" w14:paraId="4167C89D" w14:textId="77777777" w:rsidTr="00EE61A2">
        <w:trPr>
          <w:trHeight w:val="300"/>
        </w:trPr>
        <w:tc>
          <w:tcPr>
            <w:tcW w:w="2096" w:type="pct"/>
            <w:tcBorders>
              <w:top w:val="single" w:sz="4" w:space="0" w:color="auto"/>
              <w:left w:val="nil"/>
              <w:bottom w:val="nil"/>
              <w:right w:val="nil"/>
            </w:tcBorders>
            <w:shd w:val="clear" w:color="auto" w:fill="auto"/>
            <w:noWrap/>
            <w:vAlign w:val="bottom"/>
            <w:hideMark/>
          </w:tcPr>
          <w:p w14:paraId="3B77CF8D" w14:textId="77777777" w:rsidR="00EE61A2" w:rsidRPr="00EE61A2" w:rsidRDefault="00EE61A2" w:rsidP="00EE61A2">
            <w:pPr>
              <w:spacing w:after="0" w:line="240" w:lineRule="auto"/>
              <w:rPr>
                <w:rFonts w:ascii="Calibri" w:eastAsia="Times New Roman" w:hAnsi="Calibri" w:cs="Calibri"/>
                <w:i/>
                <w:color w:val="000000"/>
                <w:lang w:eastAsia="it-IT"/>
              </w:rPr>
            </w:pPr>
            <w:r w:rsidRPr="00EE61A2">
              <w:rPr>
                <w:rFonts w:ascii="Calibri" w:eastAsia="Times New Roman" w:hAnsi="Calibri" w:cs="Calibri"/>
                <w:i/>
                <w:color w:val="000000"/>
                <w:lang w:eastAsia="it-IT"/>
              </w:rPr>
              <w:t>Hard-Discount</w:t>
            </w:r>
          </w:p>
        </w:tc>
        <w:tc>
          <w:tcPr>
            <w:tcW w:w="472" w:type="pct"/>
            <w:tcBorders>
              <w:top w:val="single" w:sz="4" w:space="0" w:color="auto"/>
              <w:left w:val="nil"/>
              <w:bottom w:val="nil"/>
              <w:right w:val="nil"/>
            </w:tcBorders>
            <w:shd w:val="clear" w:color="auto" w:fill="auto"/>
            <w:noWrap/>
            <w:vAlign w:val="bottom"/>
            <w:hideMark/>
          </w:tcPr>
          <w:p w14:paraId="7E622704"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7.43</w:t>
            </w:r>
          </w:p>
        </w:tc>
        <w:tc>
          <w:tcPr>
            <w:tcW w:w="472" w:type="pct"/>
            <w:tcBorders>
              <w:top w:val="single" w:sz="4" w:space="0" w:color="auto"/>
              <w:left w:val="nil"/>
              <w:bottom w:val="nil"/>
              <w:right w:val="nil"/>
            </w:tcBorders>
            <w:shd w:val="clear" w:color="auto" w:fill="auto"/>
            <w:noWrap/>
            <w:vAlign w:val="bottom"/>
            <w:hideMark/>
          </w:tcPr>
          <w:p w14:paraId="167FB9A5"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11.88</w:t>
            </w:r>
          </w:p>
        </w:tc>
        <w:tc>
          <w:tcPr>
            <w:tcW w:w="472" w:type="pct"/>
            <w:tcBorders>
              <w:top w:val="single" w:sz="4" w:space="0" w:color="auto"/>
              <w:left w:val="nil"/>
              <w:bottom w:val="nil"/>
              <w:right w:val="nil"/>
            </w:tcBorders>
            <w:shd w:val="clear" w:color="auto" w:fill="auto"/>
            <w:noWrap/>
            <w:vAlign w:val="bottom"/>
            <w:hideMark/>
          </w:tcPr>
          <w:p w14:paraId="3D01A5B7"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8.15</w:t>
            </w:r>
          </w:p>
        </w:tc>
        <w:tc>
          <w:tcPr>
            <w:tcW w:w="472" w:type="pct"/>
            <w:tcBorders>
              <w:top w:val="single" w:sz="4" w:space="0" w:color="auto"/>
              <w:left w:val="nil"/>
              <w:bottom w:val="nil"/>
              <w:right w:val="nil"/>
            </w:tcBorders>
            <w:shd w:val="clear" w:color="auto" w:fill="auto"/>
            <w:noWrap/>
            <w:vAlign w:val="bottom"/>
            <w:hideMark/>
          </w:tcPr>
          <w:p w14:paraId="033F2EDB"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7.10</w:t>
            </w:r>
          </w:p>
        </w:tc>
        <w:tc>
          <w:tcPr>
            <w:tcW w:w="1014" w:type="pct"/>
            <w:tcBorders>
              <w:top w:val="single" w:sz="4" w:space="0" w:color="auto"/>
              <w:left w:val="nil"/>
              <w:bottom w:val="nil"/>
              <w:right w:val="nil"/>
            </w:tcBorders>
            <w:shd w:val="clear" w:color="auto" w:fill="auto"/>
            <w:noWrap/>
            <w:vAlign w:val="bottom"/>
            <w:hideMark/>
          </w:tcPr>
          <w:p w14:paraId="29F54514"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7.99</w:t>
            </w:r>
          </w:p>
        </w:tc>
      </w:tr>
      <w:tr w:rsidR="00EE61A2" w:rsidRPr="00EE61A2" w14:paraId="34717199" w14:textId="77777777" w:rsidTr="00EE61A2">
        <w:trPr>
          <w:trHeight w:val="300"/>
        </w:trPr>
        <w:tc>
          <w:tcPr>
            <w:tcW w:w="2096" w:type="pct"/>
            <w:tcBorders>
              <w:top w:val="nil"/>
              <w:left w:val="nil"/>
              <w:bottom w:val="nil"/>
              <w:right w:val="nil"/>
            </w:tcBorders>
            <w:shd w:val="clear" w:color="auto" w:fill="auto"/>
            <w:noWrap/>
            <w:vAlign w:val="bottom"/>
            <w:hideMark/>
          </w:tcPr>
          <w:p w14:paraId="4588104B" w14:textId="77777777" w:rsidR="00EE61A2" w:rsidRPr="00EE61A2" w:rsidRDefault="00EE61A2" w:rsidP="00EE61A2">
            <w:pPr>
              <w:spacing w:after="0" w:line="240" w:lineRule="auto"/>
              <w:rPr>
                <w:rFonts w:ascii="Calibri" w:eastAsia="Times New Roman" w:hAnsi="Calibri" w:cs="Calibri"/>
                <w:i/>
                <w:color w:val="000000"/>
                <w:lang w:eastAsia="it-IT"/>
              </w:rPr>
            </w:pPr>
            <w:r w:rsidRPr="00EE61A2">
              <w:rPr>
                <w:rFonts w:ascii="Calibri" w:eastAsia="Times New Roman" w:hAnsi="Calibri" w:cs="Calibri"/>
                <w:i/>
                <w:color w:val="000000"/>
                <w:lang w:eastAsia="it-IT"/>
              </w:rPr>
              <w:t>Hypermaket</w:t>
            </w:r>
          </w:p>
        </w:tc>
        <w:tc>
          <w:tcPr>
            <w:tcW w:w="472" w:type="pct"/>
            <w:tcBorders>
              <w:top w:val="nil"/>
              <w:left w:val="nil"/>
              <w:bottom w:val="nil"/>
              <w:right w:val="nil"/>
            </w:tcBorders>
            <w:shd w:val="clear" w:color="auto" w:fill="auto"/>
            <w:noWrap/>
            <w:vAlign w:val="bottom"/>
            <w:hideMark/>
          </w:tcPr>
          <w:p w14:paraId="0FE5DE3F"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9.39</w:t>
            </w:r>
          </w:p>
        </w:tc>
        <w:tc>
          <w:tcPr>
            <w:tcW w:w="472" w:type="pct"/>
            <w:tcBorders>
              <w:top w:val="nil"/>
              <w:left w:val="nil"/>
              <w:bottom w:val="nil"/>
              <w:right w:val="nil"/>
            </w:tcBorders>
            <w:shd w:val="clear" w:color="auto" w:fill="auto"/>
            <w:noWrap/>
            <w:vAlign w:val="bottom"/>
            <w:hideMark/>
          </w:tcPr>
          <w:p w14:paraId="008BD7EE"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15.84</w:t>
            </w:r>
          </w:p>
        </w:tc>
        <w:tc>
          <w:tcPr>
            <w:tcW w:w="472" w:type="pct"/>
            <w:tcBorders>
              <w:top w:val="nil"/>
              <w:left w:val="nil"/>
              <w:bottom w:val="nil"/>
              <w:right w:val="nil"/>
            </w:tcBorders>
            <w:shd w:val="clear" w:color="auto" w:fill="auto"/>
            <w:noWrap/>
            <w:vAlign w:val="bottom"/>
            <w:hideMark/>
          </w:tcPr>
          <w:p w14:paraId="0FE76C0D"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12.74</w:t>
            </w:r>
          </w:p>
        </w:tc>
        <w:tc>
          <w:tcPr>
            <w:tcW w:w="472" w:type="pct"/>
            <w:tcBorders>
              <w:top w:val="nil"/>
              <w:left w:val="nil"/>
              <w:bottom w:val="nil"/>
              <w:right w:val="nil"/>
            </w:tcBorders>
            <w:shd w:val="clear" w:color="auto" w:fill="auto"/>
            <w:noWrap/>
            <w:vAlign w:val="bottom"/>
            <w:hideMark/>
          </w:tcPr>
          <w:p w14:paraId="3C28F71B"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13.79</w:t>
            </w:r>
          </w:p>
        </w:tc>
        <w:tc>
          <w:tcPr>
            <w:tcW w:w="1014" w:type="pct"/>
            <w:tcBorders>
              <w:top w:val="nil"/>
              <w:left w:val="nil"/>
              <w:bottom w:val="nil"/>
              <w:right w:val="nil"/>
            </w:tcBorders>
            <w:shd w:val="clear" w:color="auto" w:fill="auto"/>
            <w:noWrap/>
            <w:vAlign w:val="bottom"/>
            <w:hideMark/>
          </w:tcPr>
          <w:p w14:paraId="0A9C979F"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11.36</w:t>
            </w:r>
          </w:p>
        </w:tc>
      </w:tr>
      <w:tr w:rsidR="00EE61A2" w:rsidRPr="00EE61A2" w14:paraId="6F4E33D1" w14:textId="77777777" w:rsidTr="00EE61A2">
        <w:trPr>
          <w:trHeight w:val="300"/>
        </w:trPr>
        <w:tc>
          <w:tcPr>
            <w:tcW w:w="2096" w:type="pct"/>
            <w:tcBorders>
              <w:top w:val="nil"/>
              <w:left w:val="nil"/>
              <w:bottom w:val="nil"/>
              <w:right w:val="nil"/>
            </w:tcBorders>
            <w:shd w:val="clear" w:color="auto" w:fill="auto"/>
            <w:noWrap/>
            <w:vAlign w:val="bottom"/>
            <w:hideMark/>
          </w:tcPr>
          <w:p w14:paraId="7F1FD551" w14:textId="77777777" w:rsidR="00EE61A2" w:rsidRPr="00EE61A2" w:rsidRDefault="00EE61A2" w:rsidP="00EE61A2">
            <w:pPr>
              <w:spacing w:after="0" w:line="240" w:lineRule="auto"/>
              <w:rPr>
                <w:rFonts w:ascii="Calibri" w:eastAsia="Times New Roman" w:hAnsi="Calibri" w:cs="Calibri"/>
                <w:i/>
                <w:color w:val="000000"/>
                <w:lang w:eastAsia="it-IT"/>
              </w:rPr>
            </w:pPr>
            <w:r w:rsidRPr="00EE61A2">
              <w:rPr>
                <w:rFonts w:ascii="Calibri" w:eastAsia="Times New Roman" w:hAnsi="Calibri" w:cs="Calibri"/>
                <w:i/>
                <w:color w:val="000000"/>
                <w:lang w:eastAsia="it-IT"/>
              </w:rPr>
              <w:t>Supermaket</w:t>
            </w:r>
          </w:p>
        </w:tc>
        <w:tc>
          <w:tcPr>
            <w:tcW w:w="472" w:type="pct"/>
            <w:tcBorders>
              <w:top w:val="nil"/>
              <w:left w:val="nil"/>
              <w:bottom w:val="nil"/>
              <w:right w:val="nil"/>
            </w:tcBorders>
            <w:shd w:val="clear" w:color="auto" w:fill="auto"/>
            <w:noWrap/>
            <w:vAlign w:val="bottom"/>
            <w:hideMark/>
          </w:tcPr>
          <w:p w14:paraId="0347835C"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37.08</w:t>
            </w:r>
          </w:p>
        </w:tc>
        <w:tc>
          <w:tcPr>
            <w:tcW w:w="472" w:type="pct"/>
            <w:tcBorders>
              <w:top w:val="nil"/>
              <w:left w:val="nil"/>
              <w:bottom w:val="nil"/>
              <w:right w:val="nil"/>
            </w:tcBorders>
            <w:shd w:val="clear" w:color="auto" w:fill="auto"/>
            <w:noWrap/>
            <w:vAlign w:val="bottom"/>
            <w:hideMark/>
          </w:tcPr>
          <w:p w14:paraId="69870882"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62.24</w:t>
            </w:r>
          </w:p>
        </w:tc>
        <w:tc>
          <w:tcPr>
            <w:tcW w:w="472" w:type="pct"/>
            <w:tcBorders>
              <w:top w:val="nil"/>
              <w:left w:val="nil"/>
              <w:bottom w:val="nil"/>
              <w:right w:val="nil"/>
            </w:tcBorders>
            <w:shd w:val="clear" w:color="auto" w:fill="auto"/>
            <w:noWrap/>
            <w:vAlign w:val="bottom"/>
            <w:hideMark/>
          </w:tcPr>
          <w:p w14:paraId="7C5E43E2"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46.23</w:t>
            </w:r>
          </w:p>
        </w:tc>
        <w:tc>
          <w:tcPr>
            <w:tcW w:w="472" w:type="pct"/>
            <w:tcBorders>
              <w:top w:val="nil"/>
              <w:left w:val="nil"/>
              <w:bottom w:val="nil"/>
              <w:right w:val="nil"/>
            </w:tcBorders>
            <w:shd w:val="clear" w:color="auto" w:fill="auto"/>
            <w:noWrap/>
            <w:vAlign w:val="bottom"/>
            <w:hideMark/>
          </w:tcPr>
          <w:p w14:paraId="475F3215"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44.66</w:t>
            </w:r>
          </w:p>
        </w:tc>
        <w:tc>
          <w:tcPr>
            <w:tcW w:w="1014" w:type="pct"/>
            <w:tcBorders>
              <w:top w:val="nil"/>
              <w:left w:val="nil"/>
              <w:bottom w:val="nil"/>
              <w:right w:val="nil"/>
            </w:tcBorders>
            <w:shd w:val="clear" w:color="auto" w:fill="auto"/>
            <w:noWrap/>
            <w:vAlign w:val="bottom"/>
            <w:hideMark/>
          </w:tcPr>
          <w:p w14:paraId="2A112892"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42.32</w:t>
            </w:r>
          </w:p>
        </w:tc>
      </w:tr>
      <w:tr w:rsidR="00EE61A2" w:rsidRPr="00EE61A2" w14:paraId="74969639" w14:textId="77777777" w:rsidTr="00EE61A2">
        <w:trPr>
          <w:trHeight w:val="300"/>
        </w:trPr>
        <w:tc>
          <w:tcPr>
            <w:tcW w:w="2096" w:type="pct"/>
            <w:tcBorders>
              <w:top w:val="nil"/>
              <w:left w:val="nil"/>
              <w:bottom w:val="nil"/>
              <w:right w:val="nil"/>
            </w:tcBorders>
            <w:shd w:val="clear" w:color="auto" w:fill="auto"/>
            <w:noWrap/>
            <w:vAlign w:val="bottom"/>
            <w:hideMark/>
          </w:tcPr>
          <w:p w14:paraId="2626BD68" w14:textId="77777777" w:rsidR="00EE61A2" w:rsidRPr="00EE61A2" w:rsidRDefault="00EE61A2" w:rsidP="00EE61A2">
            <w:pPr>
              <w:spacing w:after="0" w:line="240" w:lineRule="auto"/>
              <w:rPr>
                <w:rFonts w:ascii="Calibri" w:eastAsia="Times New Roman" w:hAnsi="Calibri" w:cs="Calibri"/>
                <w:i/>
                <w:color w:val="000000"/>
                <w:lang w:eastAsia="it-IT"/>
              </w:rPr>
            </w:pPr>
            <w:r w:rsidRPr="00EE61A2">
              <w:rPr>
                <w:rFonts w:ascii="Calibri" w:eastAsia="Times New Roman" w:hAnsi="Calibri" w:cs="Calibri"/>
                <w:i/>
                <w:color w:val="000000"/>
                <w:lang w:eastAsia="it-IT"/>
              </w:rPr>
              <w:t>Traditional shop</w:t>
            </w:r>
          </w:p>
        </w:tc>
        <w:tc>
          <w:tcPr>
            <w:tcW w:w="472" w:type="pct"/>
            <w:tcBorders>
              <w:top w:val="nil"/>
              <w:left w:val="nil"/>
              <w:bottom w:val="nil"/>
              <w:right w:val="nil"/>
            </w:tcBorders>
            <w:shd w:val="clear" w:color="auto" w:fill="auto"/>
            <w:noWrap/>
            <w:vAlign w:val="bottom"/>
            <w:hideMark/>
          </w:tcPr>
          <w:p w14:paraId="373D0896"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45.16</w:t>
            </w:r>
          </w:p>
        </w:tc>
        <w:tc>
          <w:tcPr>
            <w:tcW w:w="472" w:type="pct"/>
            <w:tcBorders>
              <w:top w:val="nil"/>
              <w:left w:val="nil"/>
              <w:bottom w:val="nil"/>
              <w:right w:val="nil"/>
            </w:tcBorders>
            <w:shd w:val="clear" w:color="auto" w:fill="auto"/>
            <w:noWrap/>
            <w:vAlign w:val="bottom"/>
            <w:hideMark/>
          </w:tcPr>
          <w:p w14:paraId="3B7F391C"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9.74</w:t>
            </w:r>
          </w:p>
        </w:tc>
        <w:tc>
          <w:tcPr>
            <w:tcW w:w="472" w:type="pct"/>
            <w:tcBorders>
              <w:top w:val="nil"/>
              <w:left w:val="nil"/>
              <w:bottom w:val="nil"/>
              <w:right w:val="nil"/>
            </w:tcBorders>
            <w:shd w:val="clear" w:color="auto" w:fill="auto"/>
            <w:noWrap/>
            <w:vAlign w:val="bottom"/>
            <w:hideMark/>
          </w:tcPr>
          <w:p w14:paraId="1ABEC01D"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31.94</w:t>
            </w:r>
          </w:p>
        </w:tc>
        <w:tc>
          <w:tcPr>
            <w:tcW w:w="472" w:type="pct"/>
            <w:tcBorders>
              <w:top w:val="nil"/>
              <w:left w:val="nil"/>
              <w:bottom w:val="nil"/>
              <w:right w:val="nil"/>
            </w:tcBorders>
            <w:shd w:val="clear" w:color="auto" w:fill="auto"/>
            <w:noWrap/>
            <w:vAlign w:val="bottom"/>
            <w:hideMark/>
          </w:tcPr>
          <w:p w14:paraId="22DCE351"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25.36</w:t>
            </w:r>
          </w:p>
        </w:tc>
        <w:tc>
          <w:tcPr>
            <w:tcW w:w="1014" w:type="pct"/>
            <w:tcBorders>
              <w:top w:val="nil"/>
              <w:left w:val="nil"/>
              <w:bottom w:val="nil"/>
              <w:right w:val="nil"/>
            </w:tcBorders>
            <w:shd w:val="clear" w:color="auto" w:fill="auto"/>
            <w:noWrap/>
            <w:vAlign w:val="bottom"/>
            <w:hideMark/>
          </w:tcPr>
          <w:p w14:paraId="0F09588B"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22.62</w:t>
            </w:r>
          </w:p>
        </w:tc>
      </w:tr>
      <w:tr w:rsidR="00EE61A2" w:rsidRPr="00EE61A2" w14:paraId="16DC64E7" w14:textId="77777777" w:rsidTr="00EE61A2">
        <w:trPr>
          <w:trHeight w:val="300"/>
        </w:trPr>
        <w:tc>
          <w:tcPr>
            <w:tcW w:w="2096" w:type="pct"/>
            <w:tcBorders>
              <w:top w:val="nil"/>
              <w:left w:val="nil"/>
              <w:bottom w:val="single" w:sz="4" w:space="0" w:color="auto"/>
              <w:right w:val="nil"/>
            </w:tcBorders>
            <w:shd w:val="clear" w:color="auto" w:fill="auto"/>
            <w:noWrap/>
            <w:vAlign w:val="bottom"/>
            <w:hideMark/>
          </w:tcPr>
          <w:p w14:paraId="500DFEB8" w14:textId="77777777" w:rsidR="00EE61A2" w:rsidRPr="00EE61A2" w:rsidRDefault="00EE61A2" w:rsidP="00EE61A2">
            <w:pPr>
              <w:spacing w:after="0" w:line="240" w:lineRule="auto"/>
              <w:rPr>
                <w:rFonts w:ascii="Calibri" w:eastAsia="Times New Roman" w:hAnsi="Calibri" w:cs="Calibri"/>
                <w:i/>
                <w:color w:val="000000"/>
                <w:lang w:eastAsia="it-IT"/>
              </w:rPr>
            </w:pPr>
            <w:r w:rsidRPr="00EE61A2">
              <w:rPr>
                <w:rFonts w:ascii="Calibri" w:eastAsia="Times New Roman" w:hAnsi="Calibri" w:cs="Calibri"/>
                <w:i/>
                <w:color w:val="000000"/>
                <w:lang w:eastAsia="it-IT"/>
              </w:rPr>
              <w:t>Street market</w:t>
            </w:r>
          </w:p>
        </w:tc>
        <w:tc>
          <w:tcPr>
            <w:tcW w:w="472" w:type="pct"/>
            <w:tcBorders>
              <w:top w:val="nil"/>
              <w:left w:val="nil"/>
              <w:bottom w:val="single" w:sz="4" w:space="0" w:color="auto"/>
              <w:right w:val="nil"/>
            </w:tcBorders>
            <w:shd w:val="clear" w:color="auto" w:fill="auto"/>
            <w:noWrap/>
            <w:vAlign w:val="bottom"/>
            <w:hideMark/>
          </w:tcPr>
          <w:p w14:paraId="43F1B5FB"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0.94</w:t>
            </w:r>
          </w:p>
        </w:tc>
        <w:tc>
          <w:tcPr>
            <w:tcW w:w="472" w:type="pct"/>
            <w:tcBorders>
              <w:top w:val="nil"/>
              <w:left w:val="nil"/>
              <w:bottom w:val="single" w:sz="4" w:space="0" w:color="auto"/>
              <w:right w:val="nil"/>
            </w:tcBorders>
            <w:shd w:val="clear" w:color="auto" w:fill="auto"/>
            <w:noWrap/>
            <w:vAlign w:val="bottom"/>
            <w:hideMark/>
          </w:tcPr>
          <w:p w14:paraId="2ADF2F8F"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0.30</w:t>
            </w:r>
          </w:p>
        </w:tc>
        <w:tc>
          <w:tcPr>
            <w:tcW w:w="472" w:type="pct"/>
            <w:tcBorders>
              <w:top w:val="nil"/>
              <w:left w:val="nil"/>
              <w:bottom w:val="single" w:sz="4" w:space="0" w:color="auto"/>
              <w:right w:val="nil"/>
            </w:tcBorders>
            <w:shd w:val="clear" w:color="auto" w:fill="auto"/>
            <w:noWrap/>
            <w:vAlign w:val="bottom"/>
            <w:hideMark/>
          </w:tcPr>
          <w:p w14:paraId="4F303E77"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0.94</w:t>
            </w:r>
          </w:p>
        </w:tc>
        <w:tc>
          <w:tcPr>
            <w:tcW w:w="472" w:type="pct"/>
            <w:tcBorders>
              <w:top w:val="nil"/>
              <w:left w:val="nil"/>
              <w:bottom w:val="single" w:sz="4" w:space="0" w:color="auto"/>
              <w:right w:val="nil"/>
            </w:tcBorders>
            <w:shd w:val="clear" w:color="auto" w:fill="auto"/>
            <w:noWrap/>
            <w:vAlign w:val="bottom"/>
            <w:hideMark/>
          </w:tcPr>
          <w:p w14:paraId="08D939F2"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9.09</w:t>
            </w:r>
          </w:p>
        </w:tc>
        <w:tc>
          <w:tcPr>
            <w:tcW w:w="1014" w:type="pct"/>
            <w:tcBorders>
              <w:top w:val="nil"/>
              <w:left w:val="nil"/>
              <w:bottom w:val="single" w:sz="4" w:space="0" w:color="auto"/>
              <w:right w:val="nil"/>
            </w:tcBorders>
            <w:shd w:val="clear" w:color="auto" w:fill="auto"/>
            <w:noWrap/>
            <w:vAlign w:val="bottom"/>
            <w:hideMark/>
          </w:tcPr>
          <w:p w14:paraId="10909CCF"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15.71</w:t>
            </w:r>
          </w:p>
        </w:tc>
      </w:tr>
      <w:tr w:rsidR="00EE61A2" w:rsidRPr="00EE61A2" w14:paraId="29C4D95E" w14:textId="77777777" w:rsidTr="00EE61A2">
        <w:trPr>
          <w:trHeight w:val="300"/>
        </w:trPr>
        <w:tc>
          <w:tcPr>
            <w:tcW w:w="2096" w:type="pct"/>
            <w:tcBorders>
              <w:top w:val="single" w:sz="4" w:space="0" w:color="auto"/>
              <w:left w:val="nil"/>
              <w:bottom w:val="single" w:sz="4" w:space="0" w:color="auto"/>
              <w:right w:val="nil"/>
            </w:tcBorders>
            <w:shd w:val="clear" w:color="auto" w:fill="auto"/>
            <w:noWrap/>
            <w:vAlign w:val="bottom"/>
            <w:hideMark/>
          </w:tcPr>
          <w:p w14:paraId="2017B222"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Total</w:t>
            </w:r>
          </w:p>
        </w:tc>
        <w:tc>
          <w:tcPr>
            <w:tcW w:w="472" w:type="pct"/>
            <w:tcBorders>
              <w:top w:val="single" w:sz="4" w:space="0" w:color="auto"/>
              <w:left w:val="nil"/>
              <w:bottom w:val="single" w:sz="4" w:space="0" w:color="auto"/>
              <w:right w:val="nil"/>
            </w:tcBorders>
            <w:shd w:val="clear" w:color="auto" w:fill="auto"/>
            <w:noWrap/>
            <w:vAlign w:val="bottom"/>
            <w:hideMark/>
          </w:tcPr>
          <w:p w14:paraId="48198F61"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100.00</w:t>
            </w:r>
          </w:p>
        </w:tc>
        <w:tc>
          <w:tcPr>
            <w:tcW w:w="472" w:type="pct"/>
            <w:tcBorders>
              <w:top w:val="single" w:sz="4" w:space="0" w:color="auto"/>
              <w:left w:val="nil"/>
              <w:bottom w:val="single" w:sz="4" w:space="0" w:color="auto"/>
              <w:right w:val="nil"/>
            </w:tcBorders>
            <w:shd w:val="clear" w:color="auto" w:fill="auto"/>
            <w:noWrap/>
            <w:vAlign w:val="bottom"/>
            <w:hideMark/>
          </w:tcPr>
          <w:p w14:paraId="179E4B97"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100.00</w:t>
            </w:r>
          </w:p>
        </w:tc>
        <w:tc>
          <w:tcPr>
            <w:tcW w:w="472" w:type="pct"/>
            <w:tcBorders>
              <w:top w:val="single" w:sz="4" w:space="0" w:color="auto"/>
              <w:left w:val="nil"/>
              <w:bottom w:val="single" w:sz="4" w:space="0" w:color="auto"/>
              <w:right w:val="nil"/>
            </w:tcBorders>
            <w:shd w:val="clear" w:color="auto" w:fill="auto"/>
            <w:noWrap/>
            <w:vAlign w:val="bottom"/>
            <w:hideMark/>
          </w:tcPr>
          <w:p w14:paraId="2EC6A10B"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100.00</w:t>
            </w:r>
          </w:p>
        </w:tc>
        <w:tc>
          <w:tcPr>
            <w:tcW w:w="472" w:type="pct"/>
            <w:tcBorders>
              <w:top w:val="single" w:sz="4" w:space="0" w:color="auto"/>
              <w:left w:val="nil"/>
              <w:bottom w:val="single" w:sz="4" w:space="0" w:color="auto"/>
              <w:right w:val="nil"/>
            </w:tcBorders>
            <w:shd w:val="clear" w:color="auto" w:fill="auto"/>
            <w:noWrap/>
            <w:vAlign w:val="bottom"/>
            <w:hideMark/>
          </w:tcPr>
          <w:p w14:paraId="151CFDE3" w14:textId="77777777" w:rsidR="00EE61A2" w:rsidRPr="00EE61A2" w:rsidRDefault="00EE61A2" w:rsidP="00EE61A2">
            <w:pPr>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100.00</w:t>
            </w:r>
          </w:p>
        </w:tc>
        <w:tc>
          <w:tcPr>
            <w:tcW w:w="1014" w:type="pct"/>
            <w:tcBorders>
              <w:top w:val="single" w:sz="4" w:space="0" w:color="auto"/>
              <w:left w:val="nil"/>
              <w:bottom w:val="single" w:sz="4" w:space="0" w:color="auto"/>
              <w:right w:val="nil"/>
            </w:tcBorders>
            <w:shd w:val="clear" w:color="auto" w:fill="auto"/>
            <w:noWrap/>
            <w:vAlign w:val="bottom"/>
            <w:hideMark/>
          </w:tcPr>
          <w:p w14:paraId="1444AD9B" w14:textId="77777777" w:rsidR="00EE61A2" w:rsidRPr="00EE61A2" w:rsidRDefault="00EE61A2" w:rsidP="0049616D">
            <w:pPr>
              <w:keepNext/>
              <w:spacing w:after="0" w:line="240" w:lineRule="auto"/>
              <w:rPr>
                <w:rFonts w:ascii="Calibri" w:eastAsia="Times New Roman" w:hAnsi="Calibri" w:cs="Calibri"/>
                <w:color w:val="000000"/>
                <w:lang w:eastAsia="it-IT"/>
              </w:rPr>
            </w:pPr>
            <w:r w:rsidRPr="00EE61A2">
              <w:rPr>
                <w:rFonts w:ascii="Calibri" w:eastAsia="Times New Roman" w:hAnsi="Calibri" w:cs="Calibri"/>
                <w:color w:val="000000"/>
                <w:lang w:eastAsia="it-IT"/>
              </w:rPr>
              <w:t>100.00</w:t>
            </w:r>
          </w:p>
        </w:tc>
      </w:tr>
    </w:tbl>
    <w:p w14:paraId="68C3BF5B" w14:textId="0D3B6D4C" w:rsidR="00EE61A2" w:rsidRDefault="0049616D" w:rsidP="0049616D">
      <w:pPr>
        <w:pStyle w:val="Didascalia"/>
        <w:rPr>
          <w:rFonts w:cstheme="minorHAnsi"/>
          <w:lang w:val="en-GB"/>
        </w:rPr>
      </w:pPr>
      <w:r w:rsidRPr="0049616D">
        <w:rPr>
          <w:lang w:val="en-GB"/>
        </w:rPr>
        <w:t xml:space="preserve">Table </w:t>
      </w:r>
      <w:r>
        <w:fldChar w:fldCharType="begin"/>
      </w:r>
      <w:r w:rsidRPr="0049616D">
        <w:rPr>
          <w:lang w:val="en-GB"/>
        </w:rPr>
        <w:instrText xml:space="preserve"> SEQ Table \* ARABIC </w:instrText>
      </w:r>
      <w:r>
        <w:fldChar w:fldCharType="separate"/>
      </w:r>
      <w:r w:rsidR="00212D63">
        <w:rPr>
          <w:noProof/>
          <w:lang w:val="en-GB"/>
        </w:rPr>
        <w:t>1</w:t>
      </w:r>
      <w:r>
        <w:fldChar w:fldCharType="end"/>
      </w:r>
      <w:r w:rsidRPr="0049616D">
        <w:rPr>
          <w:lang w:val="en-GB"/>
        </w:rPr>
        <w:t xml:space="preserve">. </w:t>
      </w:r>
      <w:r>
        <w:rPr>
          <w:lang w:val="en-GB"/>
        </w:rPr>
        <w:t xml:space="preserve">Percentage of families purchasing bread, pasta, meat, fish, and fruit and vegetables in different store types.  </w:t>
      </w:r>
    </w:p>
    <w:p w14:paraId="2F831401" w14:textId="370CDB5A" w:rsidR="00B560A1" w:rsidRPr="00B560A1" w:rsidRDefault="0026569F" w:rsidP="008E2A80">
      <w:pPr>
        <w:spacing w:before="60" w:after="60"/>
        <w:jc w:val="both"/>
        <w:rPr>
          <w:rFonts w:cstheme="minorHAnsi"/>
          <w:lang w:val="en-GB"/>
        </w:rPr>
      </w:pPr>
      <w:r>
        <w:rPr>
          <w:rFonts w:cstheme="minorHAnsi"/>
          <w:lang w:val="en-GB"/>
        </w:rPr>
        <w:t>In order to unravel how social stratification shape store access, w</w:t>
      </w:r>
      <w:r w:rsidR="00B560A1">
        <w:rPr>
          <w:rFonts w:cstheme="minorHAnsi"/>
          <w:lang w:val="en-GB"/>
        </w:rPr>
        <w:t>e</w:t>
      </w:r>
      <w:r w:rsidR="00B560A1" w:rsidRPr="00B560A1">
        <w:rPr>
          <w:rFonts w:cstheme="minorHAnsi"/>
          <w:lang w:val="en-GB"/>
        </w:rPr>
        <w:t xml:space="preserve"> recoded the </w:t>
      </w:r>
      <w:r>
        <w:rPr>
          <w:rFonts w:cstheme="minorHAnsi"/>
          <w:lang w:val="en-GB"/>
        </w:rPr>
        <w:t>5 items</w:t>
      </w:r>
      <w:r w:rsidR="00B560A1" w:rsidRPr="00B560A1">
        <w:rPr>
          <w:rFonts w:cstheme="minorHAnsi"/>
          <w:lang w:val="en-GB"/>
        </w:rPr>
        <w:t xml:space="preserve"> so as to create a dummy that indicates whether the family acquires at least one food item in the hard di</w:t>
      </w:r>
      <w:r w:rsidR="00B560A1">
        <w:rPr>
          <w:rFonts w:cstheme="minorHAnsi"/>
          <w:lang w:val="en-GB"/>
        </w:rPr>
        <w:t>scount (16.09%) or not (83.91%)</w:t>
      </w:r>
      <w:r>
        <w:rPr>
          <w:rFonts w:cstheme="minorHAnsi"/>
          <w:lang w:val="en-GB"/>
        </w:rPr>
        <w:t>. We then</w:t>
      </w:r>
      <w:r w:rsidR="0020650C">
        <w:rPr>
          <w:rFonts w:cstheme="minorHAnsi"/>
          <w:lang w:val="en-GB"/>
        </w:rPr>
        <w:t xml:space="preserve"> applied a logistic regression</w:t>
      </w:r>
      <w:r w:rsidR="00B560A1">
        <w:rPr>
          <w:rFonts w:cstheme="minorHAnsi"/>
          <w:lang w:val="en-GB"/>
        </w:rPr>
        <w:t>. The model controls for</w:t>
      </w:r>
      <w:r w:rsidR="00B560A1" w:rsidRPr="00B560A1">
        <w:rPr>
          <w:rFonts w:cstheme="minorHAnsi"/>
          <w:lang w:val="en-GB"/>
        </w:rPr>
        <w:t xml:space="preserve"> the educational level of the referral person in the family (tertiary, upper secondary, and lower secondary or less) and the deciles of total household expenditure minus nondurables as a proxy to household total financial resources.</w:t>
      </w:r>
      <w:r w:rsidR="00B560A1">
        <w:rPr>
          <w:rFonts w:cstheme="minorHAnsi"/>
          <w:lang w:val="en-GB"/>
        </w:rPr>
        <w:t xml:space="preserve"> </w:t>
      </w:r>
      <w:r w:rsidR="00B560A1" w:rsidRPr="00B560A1">
        <w:rPr>
          <w:rFonts w:cstheme="minorHAnsi"/>
          <w:lang w:val="en-GB"/>
        </w:rPr>
        <w:t xml:space="preserve">Additional control variables include the family type (single, couple with/without children, lone parent), </w:t>
      </w:r>
      <w:r w:rsidR="00B560A1" w:rsidRPr="00B560A1">
        <w:rPr>
          <w:rFonts w:cstheme="minorHAnsi"/>
          <w:lang w:val="en-GB"/>
        </w:rPr>
        <w:lastRenderedPageBreak/>
        <w:t>professional condition (worker, unemployed, inactive or retired) number of people in the household, age (25-34; 35-49; 50-64), sex of the respondent, macro-region of residence (north, centre, south and islands).</w:t>
      </w:r>
    </w:p>
    <w:p w14:paraId="615D4E5F" w14:textId="77777777" w:rsidR="0049616D" w:rsidRDefault="00B560A1" w:rsidP="0049616D">
      <w:pPr>
        <w:keepNext/>
        <w:spacing w:before="60" w:after="60"/>
        <w:jc w:val="center"/>
      </w:pPr>
      <w:r>
        <w:rPr>
          <w:rFonts w:cstheme="minorHAnsi"/>
          <w:noProof/>
          <w:lang w:val="en-GB" w:eastAsia="en-GB"/>
        </w:rPr>
        <w:drawing>
          <wp:inline distT="0" distB="0" distL="0" distR="0" wp14:anchorId="05FA4C04" wp14:editId="321D3186">
            <wp:extent cx="3108960" cy="2263818"/>
            <wp:effectExtent l="0" t="0" r="0"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e choice_Edu.png"/>
                    <pic:cNvPicPr/>
                  </pic:nvPicPr>
                  <pic:blipFill>
                    <a:blip r:embed="rId13">
                      <a:extLst>
                        <a:ext uri="{28A0092B-C50C-407E-A947-70E740481C1C}">
                          <a14:useLocalDpi xmlns:a14="http://schemas.microsoft.com/office/drawing/2010/main" val="0"/>
                        </a:ext>
                      </a:extLst>
                    </a:blip>
                    <a:stretch>
                      <a:fillRect/>
                    </a:stretch>
                  </pic:blipFill>
                  <pic:spPr>
                    <a:xfrm>
                      <a:off x="0" y="0"/>
                      <a:ext cx="3120562" cy="2272266"/>
                    </a:xfrm>
                    <a:prstGeom prst="rect">
                      <a:avLst/>
                    </a:prstGeom>
                  </pic:spPr>
                </pic:pic>
              </a:graphicData>
            </a:graphic>
          </wp:inline>
        </w:drawing>
      </w:r>
    </w:p>
    <w:p w14:paraId="16A88E02" w14:textId="5D1E8895" w:rsidR="00A23F71" w:rsidRDefault="0049616D" w:rsidP="0049616D">
      <w:pPr>
        <w:pStyle w:val="Didascalia"/>
        <w:jc w:val="center"/>
        <w:rPr>
          <w:rFonts w:cstheme="minorHAnsi"/>
          <w:lang w:val="en-GB"/>
        </w:rPr>
      </w:pPr>
      <w:r w:rsidRPr="0049616D">
        <w:rPr>
          <w:lang w:val="en-GB"/>
        </w:rPr>
        <w:t xml:space="preserve">Figure </w:t>
      </w:r>
      <w:r>
        <w:fldChar w:fldCharType="begin"/>
      </w:r>
      <w:r w:rsidRPr="0049616D">
        <w:rPr>
          <w:lang w:val="en-GB"/>
        </w:rPr>
        <w:instrText xml:space="preserve"> SEQ Figure \* ARABIC </w:instrText>
      </w:r>
      <w:r>
        <w:fldChar w:fldCharType="separate"/>
      </w:r>
      <w:r w:rsidR="00212D63">
        <w:rPr>
          <w:noProof/>
          <w:lang w:val="en-GB"/>
        </w:rPr>
        <w:t>6</w:t>
      </w:r>
      <w:r>
        <w:fldChar w:fldCharType="end"/>
      </w:r>
      <w:r w:rsidRPr="0049616D">
        <w:rPr>
          <w:lang w:val="en-GB"/>
        </w:rPr>
        <w:t>. Marginal effects on the probability of purchasing at least one food item in the hard discount by total expenditure deciles and</w:t>
      </w:r>
      <w:r>
        <w:rPr>
          <w:lang w:val="en-GB"/>
        </w:rPr>
        <w:t xml:space="preserve"> educational level. </w:t>
      </w:r>
    </w:p>
    <w:p w14:paraId="05ECCD98" w14:textId="0A94E95F" w:rsidR="002F1888" w:rsidRDefault="002F1888" w:rsidP="002F1888">
      <w:pPr>
        <w:spacing w:before="60" w:after="60"/>
        <w:jc w:val="both"/>
        <w:rPr>
          <w:rFonts w:cstheme="minorHAnsi"/>
          <w:lang w:val="en-GB"/>
        </w:rPr>
      </w:pPr>
      <w:r w:rsidRPr="00B560A1">
        <w:rPr>
          <w:rFonts w:cstheme="minorHAnsi"/>
          <w:lang w:val="en-GB"/>
        </w:rPr>
        <w:t xml:space="preserve">Figure </w:t>
      </w:r>
      <w:r>
        <w:rPr>
          <w:rFonts w:cstheme="minorHAnsi"/>
          <w:lang w:val="en-GB"/>
        </w:rPr>
        <w:t>2</w:t>
      </w:r>
      <w:r w:rsidRPr="00B560A1">
        <w:rPr>
          <w:rFonts w:cstheme="minorHAnsi"/>
          <w:lang w:val="en-GB"/>
        </w:rPr>
        <w:t xml:space="preserve"> illustrates the results of the interaction between </w:t>
      </w:r>
      <w:r>
        <w:rPr>
          <w:rFonts w:cstheme="minorHAnsi"/>
          <w:lang w:val="en-GB"/>
        </w:rPr>
        <w:t>educational level and the income proxy</w:t>
      </w:r>
      <w:r w:rsidRPr="00B560A1">
        <w:rPr>
          <w:rFonts w:cstheme="minorHAnsi"/>
          <w:lang w:val="en-GB"/>
        </w:rPr>
        <w:t xml:space="preserve"> based on the Italian samples. </w:t>
      </w:r>
      <w:r>
        <w:rPr>
          <w:rFonts w:cstheme="minorHAnsi"/>
          <w:lang w:val="en-GB"/>
        </w:rPr>
        <w:t xml:space="preserve">The </w:t>
      </w:r>
      <w:r w:rsidRPr="00B560A1">
        <w:rPr>
          <w:rFonts w:cstheme="minorHAnsi"/>
          <w:lang w:val="en-GB"/>
        </w:rPr>
        <w:t xml:space="preserve">panel shows educational level differences in the probability to buy food in a hard discount by deciles of expenditures. Although the propensity diminishes with higher levels of economic resources for both educational levels, there is a noticeable gap between lower secondary or less and tertiary educated individuals, which narrows down with increasing levels of household financial resources. Whilst the former group reduces the likelihood of 20.14 percentage points, passing from 28.0% to 7.86%, the latter goes from 12.47% to 4.68%, thus lowering the propensity of 7.79 percentage points. In other words, cultural </w:t>
      </w:r>
      <w:r>
        <w:rPr>
          <w:rFonts w:cstheme="minorHAnsi"/>
          <w:lang w:val="en-GB"/>
        </w:rPr>
        <w:t>resources</w:t>
      </w:r>
      <w:r w:rsidRPr="00B560A1">
        <w:rPr>
          <w:rFonts w:cstheme="minorHAnsi"/>
          <w:lang w:val="en-GB"/>
        </w:rPr>
        <w:t xml:space="preserve"> characterizes families’ store choice at the bottom of the income distribution, but its effect becomes negligible for well-off families.</w:t>
      </w:r>
    </w:p>
    <w:p w14:paraId="0DC98DB9" w14:textId="4ABD663A" w:rsidR="008770F0" w:rsidRDefault="008770F0" w:rsidP="002F1888">
      <w:pPr>
        <w:spacing w:before="60" w:after="60"/>
        <w:jc w:val="both"/>
        <w:rPr>
          <w:rFonts w:cstheme="minorHAnsi"/>
          <w:lang w:val="en-GB"/>
        </w:rPr>
      </w:pPr>
    </w:p>
    <w:p w14:paraId="6100209E" w14:textId="180C1D54" w:rsidR="008770F0" w:rsidRPr="00F0062A" w:rsidRDefault="008770F0" w:rsidP="008770F0">
      <w:pPr>
        <w:pStyle w:val="Titolo3"/>
        <w:spacing w:before="60" w:after="60"/>
        <w:jc w:val="both"/>
        <w:rPr>
          <w:rFonts w:asciiTheme="minorHAnsi" w:hAnsiTheme="minorHAnsi" w:cstheme="minorHAnsi"/>
          <w:i/>
          <w:lang w:val="en-GB"/>
        </w:rPr>
      </w:pPr>
      <w:r>
        <w:rPr>
          <w:rFonts w:asciiTheme="minorHAnsi" w:hAnsiTheme="minorHAnsi" w:cstheme="minorHAnsi"/>
          <w:i/>
          <w:lang w:val="en-GB"/>
        </w:rPr>
        <w:t>3.2</w:t>
      </w:r>
      <w:r w:rsidRPr="00F0062A">
        <w:rPr>
          <w:rFonts w:asciiTheme="minorHAnsi" w:hAnsiTheme="minorHAnsi" w:cstheme="minorHAnsi"/>
          <w:i/>
          <w:lang w:val="en-GB"/>
        </w:rPr>
        <w:t xml:space="preserve"> </w:t>
      </w:r>
      <w:r>
        <w:rPr>
          <w:rFonts w:asciiTheme="minorHAnsi" w:hAnsiTheme="minorHAnsi" w:cstheme="minorHAnsi"/>
          <w:i/>
          <w:lang w:val="en-GB"/>
        </w:rPr>
        <w:t>Food Consumption</w:t>
      </w:r>
    </w:p>
    <w:p w14:paraId="6B457546" w14:textId="5B54D55C" w:rsidR="005E3B1F" w:rsidRDefault="005E3B1F" w:rsidP="005E3B1F">
      <w:pPr>
        <w:spacing w:before="60" w:after="60"/>
        <w:jc w:val="both"/>
        <w:rPr>
          <w:rFonts w:cstheme="minorHAnsi"/>
          <w:lang w:val="en-GB"/>
        </w:rPr>
      </w:pPr>
      <w:r>
        <w:rPr>
          <w:rFonts w:cstheme="minorHAnsi"/>
          <w:lang w:val="en-GB"/>
        </w:rPr>
        <w:t xml:space="preserve">Second, using the Multipurpose Survey of Daily Life (MSD) of 2014, it is possible to get an insight on some consumption trends already mentioned above. We selected the Italian adult population aged 25+ and we consider three different behaviours associated to sustainability. The sample consists of </w:t>
      </w:r>
      <w:r w:rsidRPr="00A86A3A">
        <w:rPr>
          <w:rFonts w:cstheme="minorHAnsi"/>
          <w:lang w:val="en-GB"/>
        </w:rPr>
        <w:t>25</w:t>
      </w:r>
      <w:r>
        <w:rPr>
          <w:rFonts w:cstheme="minorHAnsi"/>
          <w:lang w:val="en-GB"/>
        </w:rPr>
        <w:t>.</w:t>
      </w:r>
      <w:r w:rsidRPr="00A86A3A">
        <w:rPr>
          <w:rFonts w:cstheme="minorHAnsi"/>
          <w:lang w:val="en-GB"/>
        </w:rPr>
        <w:t>126</w:t>
      </w:r>
      <w:r>
        <w:rPr>
          <w:rFonts w:cstheme="minorHAnsi"/>
          <w:lang w:val="en-GB"/>
        </w:rPr>
        <w:t xml:space="preserve"> individuals. Table x shows the frequencies for the purchasing of organic and local products, and for reading the labels of food products. As it is possible to see, more than 40% of the selected population buys organic products sometimes or regularly; more than 50% purchase local products sometimes or regularly; almost 70% pays attention to food products labels when buying groceries sometimes or regularly. In general, these figures suggest that some consumption patterns associated to sustainability are common among the Italian adult population. </w:t>
      </w:r>
    </w:p>
    <w:tbl>
      <w:tblPr>
        <w:tblW w:w="5000" w:type="pct"/>
        <w:tblCellMar>
          <w:left w:w="70" w:type="dxa"/>
          <w:right w:w="70" w:type="dxa"/>
        </w:tblCellMar>
        <w:tblLook w:val="04A0" w:firstRow="1" w:lastRow="0" w:firstColumn="1" w:lastColumn="0" w:noHBand="0" w:noVBand="1"/>
      </w:tblPr>
      <w:tblGrid>
        <w:gridCol w:w="1572"/>
        <w:gridCol w:w="2797"/>
        <w:gridCol w:w="2552"/>
        <w:gridCol w:w="2857"/>
      </w:tblGrid>
      <w:tr w:rsidR="005E3B1F" w:rsidRPr="008770F0" w14:paraId="18355F59" w14:textId="77777777" w:rsidTr="001726C1">
        <w:trPr>
          <w:trHeight w:val="300"/>
        </w:trPr>
        <w:tc>
          <w:tcPr>
            <w:tcW w:w="804" w:type="pct"/>
            <w:tcBorders>
              <w:top w:val="nil"/>
              <w:left w:val="nil"/>
              <w:bottom w:val="single" w:sz="4" w:space="0" w:color="auto"/>
              <w:right w:val="nil"/>
            </w:tcBorders>
            <w:shd w:val="clear" w:color="auto" w:fill="auto"/>
            <w:noWrap/>
            <w:vAlign w:val="bottom"/>
            <w:hideMark/>
          </w:tcPr>
          <w:p w14:paraId="62B0E12F" w14:textId="77777777" w:rsidR="005E3B1F" w:rsidRPr="00E96396" w:rsidRDefault="005E3B1F" w:rsidP="001726C1">
            <w:pPr>
              <w:spacing w:after="0" w:line="240" w:lineRule="auto"/>
              <w:rPr>
                <w:rFonts w:ascii="Times New Roman" w:eastAsia="Times New Roman" w:hAnsi="Times New Roman" w:cs="Times New Roman"/>
                <w:sz w:val="24"/>
                <w:szCs w:val="24"/>
                <w:lang w:val="en-GB" w:eastAsia="it-IT"/>
              </w:rPr>
            </w:pPr>
          </w:p>
        </w:tc>
        <w:tc>
          <w:tcPr>
            <w:tcW w:w="1430" w:type="pct"/>
            <w:tcBorders>
              <w:top w:val="nil"/>
              <w:left w:val="nil"/>
              <w:bottom w:val="single" w:sz="4" w:space="0" w:color="auto"/>
              <w:right w:val="nil"/>
            </w:tcBorders>
            <w:shd w:val="clear" w:color="auto" w:fill="auto"/>
            <w:noWrap/>
            <w:vAlign w:val="bottom"/>
            <w:hideMark/>
          </w:tcPr>
          <w:p w14:paraId="36BBB180" w14:textId="77777777" w:rsidR="005E3B1F" w:rsidRPr="00E96396" w:rsidRDefault="005E3B1F" w:rsidP="001726C1">
            <w:pPr>
              <w:spacing w:after="0" w:line="240" w:lineRule="auto"/>
              <w:rPr>
                <w:rFonts w:ascii="Calibri" w:eastAsia="Times New Roman" w:hAnsi="Calibri" w:cs="Calibri"/>
                <w:b/>
                <w:color w:val="000000"/>
                <w:lang w:val="en-GB" w:eastAsia="it-IT"/>
              </w:rPr>
            </w:pPr>
            <w:r w:rsidRPr="00E96396">
              <w:rPr>
                <w:rFonts w:ascii="Calibri" w:eastAsia="Times New Roman" w:hAnsi="Calibri" w:cs="Calibri"/>
                <w:b/>
                <w:color w:val="000000"/>
                <w:lang w:val="en-GB" w:eastAsia="it-IT"/>
              </w:rPr>
              <w:t>Purchasing organic products</w:t>
            </w:r>
          </w:p>
        </w:tc>
        <w:tc>
          <w:tcPr>
            <w:tcW w:w="1305" w:type="pct"/>
            <w:tcBorders>
              <w:top w:val="nil"/>
              <w:left w:val="nil"/>
              <w:bottom w:val="single" w:sz="4" w:space="0" w:color="auto"/>
              <w:right w:val="nil"/>
            </w:tcBorders>
            <w:shd w:val="clear" w:color="auto" w:fill="auto"/>
            <w:noWrap/>
            <w:vAlign w:val="bottom"/>
            <w:hideMark/>
          </w:tcPr>
          <w:p w14:paraId="599544C7" w14:textId="77777777" w:rsidR="005E3B1F" w:rsidRPr="00E96396" w:rsidRDefault="005E3B1F" w:rsidP="001726C1">
            <w:pPr>
              <w:spacing w:after="0" w:line="240" w:lineRule="auto"/>
              <w:rPr>
                <w:rFonts w:ascii="Calibri" w:eastAsia="Times New Roman" w:hAnsi="Calibri" w:cs="Calibri"/>
                <w:b/>
                <w:color w:val="000000"/>
                <w:lang w:val="en-GB" w:eastAsia="it-IT"/>
              </w:rPr>
            </w:pPr>
            <w:r w:rsidRPr="00E96396">
              <w:rPr>
                <w:rFonts w:ascii="Calibri" w:eastAsia="Times New Roman" w:hAnsi="Calibri" w:cs="Calibri"/>
                <w:b/>
                <w:color w:val="000000"/>
                <w:lang w:val="en-GB" w:eastAsia="it-IT"/>
              </w:rPr>
              <w:t>Purchasing local products</w:t>
            </w:r>
          </w:p>
        </w:tc>
        <w:tc>
          <w:tcPr>
            <w:tcW w:w="1461" w:type="pct"/>
            <w:tcBorders>
              <w:top w:val="nil"/>
              <w:left w:val="nil"/>
              <w:bottom w:val="single" w:sz="4" w:space="0" w:color="auto"/>
              <w:right w:val="nil"/>
            </w:tcBorders>
            <w:shd w:val="clear" w:color="auto" w:fill="auto"/>
            <w:noWrap/>
            <w:vAlign w:val="bottom"/>
            <w:hideMark/>
          </w:tcPr>
          <w:p w14:paraId="4E7C78DC" w14:textId="77777777" w:rsidR="005E3B1F" w:rsidRPr="00E96396" w:rsidRDefault="005E3B1F" w:rsidP="001726C1">
            <w:pPr>
              <w:spacing w:after="0" w:line="240" w:lineRule="auto"/>
              <w:rPr>
                <w:rFonts w:ascii="Calibri" w:eastAsia="Times New Roman" w:hAnsi="Calibri" w:cs="Calibri"/>
                <w:b/>
                <w:color w:val="000000"/>
                <w:lang w:val="en-GB" w:eastAsia="it-IT"/>
              </w:rPr>
            </w:pPr>
            <w:r w:rsidRPr="00E96396">
              <w:rPr>
                <w:rFonts w:ascii="Calibri" w:eastAsia="Times New Roman" w:hAnsi="Calibri" w:cs="Calibri"/>
                <w:b/>
                <w:color w:val="000000"/>
                <w:lang w:val="en-GB" w:eastAsia="it-IT"/>
              </w:rPr>
              <w:t>Read labels of food products</w:t>
            </w:r>
          </w:p>
        </w:tc>
      </w:tr>
      <w:tr w:rsidR="005E3B1F" w:rsidRPr="00E96396" w14:paraId="167DBE8A" w14:textId="77777777" w:rsidTr="001726C1">
        <w:trPr>
          <w:trHeight w:val="300"/>
        </w:trPr>
        <w:tc>
          <w:tcPr>
            <w:tcW w:w="804" w:type="pct"/>
            <w:tcBorders>
              <w:top w:val="single" w:sz="4" w:space="0" w:color="auto"/>
              <w:left w:val="nil"/>
              <w:bottom w:val="nil"/>
              <w:right w:val="nil"/>
            </w:tcBorders>
            <w:shd w:val="clear" w:color="auto" w:fill="auto"/>
            <w:noWrap/>
            <w:vAlign w:val="bottom"/>
            <w:hideMark/>
          </w:tcPr>
          <w:p w14:paraId="5297A17D" w14:textId="77777777" w:rsidR="005E3B1F" w:rsidRPr="00E96396" w:rsidRDefault="005E3B1F" w:rsidP="001726C1">
            <w:pPr>
              <w:spacing w:after="0" w:line="240" w:lineRule="auto"/>
              <w:rPr>
                <w:rFonts w:ascii="Calibri" w:eastAsia="Times New Roman" w:hAnsi="Calibri" w:cs="Calibri"/>
                <w:i/>
                <w:color w:val="000000"/>
                <w:lang w:val="en-GB" w:eastAsia="it-IT"/>
              </w:rPr>
            </w:pPr>
            <w:r w:rsidRPr="00E96396">
              <w:rPr>
                <w:rFonts w:ascii="Calibri" w:eastAsia="Times New Roman" w:hAnsi="Calibri" w:cs="Calibri"/>
                <w:i/>
                <w:color w:val="000000"/>
                <w:lang w:val="en-GB" w:eastAsia="it-IT"/>
              </w:rPr>
              <w:t>Regularly</w:t>
            </w:r>
          </w:p>
        </w:tc>
        <w:tc>
          <w:tcPr>
            <w:tcW w:w="1430" w:type="pct"/>
            <w:tcBorders>
              <w:top w:val="single" w:sz="4" w:space="0" w:color="auto"/>
              <w:left w:val="nil"/>
              <w:bottom w:val="nil"/>
              <w:right w:val="nil"/>
            </w:tcBorders>
            <w:shd w:val="clear" w:color="auto" w:fill="auto"/>
            <w:noWrap/>
            <w:vAlign w:val="bottom"/>
            <w:hideMark/>
          </w:tcPr>
          <w:p w14:paraId="1E1B0F2E" w14:textId="77777777" w:rsidR="005E3B1F" w:rsidRPr="00E96396" w:rsidRDefault="005E3B1F" w:rsidP="001726C1">
            <w:pPr>
              <w:spacing w:after="0" w:line="240" w:lineRule="auto"/>
              <w:rPr>
                <w:rFonts w:ascii="Calibri" w:eastAsia="Times New Roman" w:hAnsi="Calibri" w:cs="Calibri"/>
                <w:color w:val="000000"/>
                <w:lang w:val="en-GB" w:eastAsia="it-IT"/>
              </w:rPr>
            </w:pPr>
            <w:r w:rsidRPr="00E96396">
              <w:rPr>
                <w:rFonts w:ascii="Calibri" w:eastAsia="Times New Roman" w:hAnsi="Calibri" w:cs="Calibri"/>
                <w:color w:val="000000"/>
                <w:lang w:val="en-GB" w:eastAsia="it-IT"/>
              </w:rPr>
              <w:t>9.40</w:t>
            </w:r>
          </w:p>
        </w:tc>
        <w:tc>
          <w:tcPr>
            <w:tcW w:w="1305" w:type="pct"/>
            <w:tcBorders>
              <w:top w:val="single" w:sz="4" w:space="0" w:color="auto"/>
              <w:left w:val="nil"/>
              <w:bottom w:val="nil"/>
              <w:right w:val="nil"/>
            </w:tcBorders>
            <w:shd w:val="clear" w:color="auto" w:fill="auto"/>
            <w:noWrap/>
            <w:vAlign w:val="bottom"/>
            <w:hideMark/>
          </w:tcPr>
          <w:p w14:paraId="0F22183A" w14:textId="77777777" w:rsidR="005E3B1F" w:rsidRPr="00E96396" w:rsidRDefault="005E3B1F" w:rsidP="001726C1">
            <w:pPr>
              <w:spacing w:after="0" w:line="240" w:lineRule="auto"/>
              <w:rPr>
                <w:rFonts w:ascii="Calibri" w:eastAsia="Times New Roman" w:hAnsi="Calibri" w:cs="Calibri"/>
                <w:color w:val="000000"/>
                <w:lang w:val="en-GB" w:eastAsia="it-IT"/>
              </w:rPr>
            </w:pPr>
            <w:r w:rsidRPr="00E96396">
              <w:rPr>
                <w:rFonts w:ascii="Calibri" w:eastAsia="Times New Roman" w:hAnsi="Calibri" w:cs="Calibri"/>
                <w:color w:val="000000"/>
                <w:lang w:val="en-GB" w:eastAsia="it-IT"/>
              </w:rPr>
              <w:t>21.22</w:t>
            </w:r>
          </w:p>
        </w:tc>
        <w:tc>
          <w:tcPr>
            <w:tcW w:w="1461" w:type="pct"/>
            <w:tcBorders>
              <w:top w:val="single" w:sz="4" w:space="0" w:color="auto"/>
              <w:left w:val="nil"/>
              <w:bottom w:val="nil"/>
              <w:right w:val="nil"/>
            </w:tcBorders>
            <w:shd w:val="clear" w:color="auto" w:fill="auto"/>
            <w:noWrap/>
            <w:vAlign w:val="bottom"/>
            <w:hideMark/>
          </w:tcPr>
          <w:p w14:paraId="2A082B9C" w14:textId="77777777" w:rsidR="005E3B1F" w:rsidRPr="00E96396" w:rsidRDefault="005E3B1F" w:rsidP="001726C1">
            <w:pPr>
              <w:spacing w:after="0" w:line="240" w:lineRule="auto"/>
              <w:rPr>
                <w:rFonts w:ascii="Calibri" w:eastAsia="Times New Roman" w:hAnsi="Calibri" w:cs="Calibri"/>
                <w:color w:val="000000"/>
                <w:lang w:val="en-GB" w:eastAsia="it-IT"/>
              </w:rPr>
            </w:pPr>
            <w:r w:rsidRPr="00E96396">
              <w:rPr>
                <w:rFonts w:ascii="Calibri" w:eastAsia="Times New Roman" w:hAnsi="Calibri" w:cs="Calibri"/>
                <w:color w:val="000000"/>
                <w:lang w:val="en-GB" w:eastAsia="it-IT"/>
              </w:rPr>
              <w:t>38.28</w:t>
            </w:r>
          </w:p>
        </w:tc>
      </w:tr>
      <w:tr w:rsidR="005E3B1F" w:rsidRPr="00E96396" w14:paraId="541CDADA" w14:textId="77777777" w:rsidTr="001726C1">
        <w:trPr>
          <w:trHeight w:val="300"/>
        </w:trPr>
        <w:tc>
          <w:tcPr>
            <w:tcW w:w="804" w:type="pct"/>
            <w:tcBorders>
              <w:top w:val="nil"/>
              <w:left w:val="nil"/>
              <w:bottom w:val="nil"/>
              <w:right w:val="nil"/>
            </w:tcBorders>
            <w:shd w:val="clear" w:color="auto" w:fill="auto"/>
            <w:noWrap/>
            <w:vAlign w:val="bottom"/>
            <w:hideMark/>
          </w:tcPr>
          <w:p w14:paraId="710376D1" w14:textId="77777777" w:rsidR="005E3B1F" w:rsidRPr="00E96396" w:rsidRDefault="005E3B1F" w:rsidP="001726C1">
            <w:pPr>
              <w:spacing w:after="0" w:line="240" w:lineRule="auto"/>
              <w:rPr>
                <w:rFonts w:ascii="Calibri" w:eastAsia="Times New Roman" w:hAnsi="Calibri" w:cs="Calibri"/>
                <w:i/>
                <w:color w:val="000000"/>
                <w:lang w:val="en-GB" w:eastAsia="it-IT"/>
              </w:rPr>
            </w:pPr>
            <w:r w:rsidRPr="00E96396">
              <w:rPr>
                <w:rFonts w:ascii="Calibri" w:eastAsia="Times New Roman" w:hAnsi="Calibri" w:cs="Calibri"/>
                <w:i/>
                <w:color w:val="000000"/>
                <w:lang w:val="en-GB" w:eastAsia="it-IT"/>
              </w:rPr>
              <w:t>Sometimes</w:t>
            </w:r>
          </w:p>
        </w:tc>
        <w:tc>
          <w:tcPr>
            <w:tcW w:w="1430" w:type="pct"/>
            <w:tcBorders>
              <w:top w:val="nil"/>
              <w:left w:val="nil"/>
              <w:bottom w:val="nil"/>
              <w:right w:val="nil"/>
            </w:tcBorders>
            <w:shd w:val="clear" w:color="auto" w:fill="auto"/>
            <w:noWrap/>
            <w:vAlign w:val="bottom"/>
            <w:hideMark/>
          </w:tcPr>
          <w:p w14:paraId="2CF22318" w14:textId="77777777" w:rsidR="005E3B1F" w:rsidRPr="00E96396" w:rsidRDefault="005E3B1F" w:rsidP="001726C1">
            <w:pPr>
              <w:spacing w:after="0" w:line="240" w:lineRule="auto"/>
              <w:rPr>
                <w:rFonts w:ascii="Calibri" w:eastAsia="Times New Roman" w:hAnsi="Calibri" w:cs="Calibri"/>
                <w:color w:val="000000"/>
                <w:lang w:eastAsia="it-IT"/>
              </w:rPr>
            </w:pPr>
            <w:r w:rsidRPr="00E96396">
              <w:rPr>
                <w:rFonts w:ascii="Calibri" w:eastAsia="Times New Roman" w:hAnsi="Calibri" w:cs="Calibri"/>
                <w:color w:val="000000"/>
                <w:lang w:val="en-GB" w:eastAsia="it-IT"/>
              </w:rPr>
              <w:t>3</w:t>
            </w:r>
            <w:r w:rsidRPr="00E96396">
              <w:rPr>
                <w:rFonts w:ascii="Calibri" w:eastAsia="Times New Roman" w:hAnsi="Calibri" w:cs="Calibri"/>
                <w:color w:val="000000"/>
                <w:lang w:eastAsia="it-IT"/>
              </w:rPr>
              <w:t>2.74</w:t>
            </w:r>
          </w:p>
        </w:tc>
        <w:tc>
          <w:tcPr>
            <w:tcW w:w="1305" w:type="pct"/>
            <w:tcBorders>
              <w:top w:val="nil"/>
              <w:left w:val="nil"/>
              <w:bottom w:val="nil"/>
              <w:right w:val="nil"/>
            </w:tcBorders>
            <w:shd w:val="clear" w:color="auto" w:fill="auto"/>
            <w:noWrap/>
            <w:vAlign w:val="bottom"/>
            <w:hideMark/>
          </w:tcPr>
          <w:p w14:paraId="60390A3C" w14:textId="77777777" w:rsidR="005E3B1F" w:rsidRPr="00E96396" w:rsidRDefault="005E3B1F" w:rsidP="001726C1">
            <w:pPr>
              <w:spacing w:after="0" w:line="240" w:lineRule="auto"/>
              <w:rPr>
                <w:rFonts w:ascii="Calibri" w:eastAsia="Times New Roman" w:hAnsi="Calibri" w:cs="Calibri"/>
                <w:color w:val="000000"/>
                <w:lang w:eastAsia="it-IT"/>
              </w:rPr>
            </w:pPr>
            <w:r w:rsidRPr="00E96396">
              <w:rPr>
                <w:rFonts w:ascii="Calibri" w:eastAsia="Times New Roman" w:hAnsi="Calibri" w:cs="Calibri"/>
                <w:color w:val="000000"/>
                <w:lang w:eastAsia="it-IT"/>
              </w:rPr>
              <w:t>38.40</w:t>
            </w:r>
          </w:p>
        </w:tc>
        <w:tc>
          <w:tcPr>
            <w:tcW w:w="1461" w:type="pct"/>
            <w:tcBorders>
              <w:top w:val="nil"/>
              <w:left w:val="nil"/>
              <w:bottom w:val="nil"/>
              <w:right w:val="nil"/>
            </w:tcBorders>
            <w:shd w:val="clear" w:color="auto" w:fill="auto"/>
            <w:noWrap/>
            <w:vAlign w:val="bottom"/>
            <w:hideMark/>
          </w:tcPr>
          <w:p w14:paraId="074A9AAF" w14:textId="77777777" w:rsidR="005E3B1F" w:rsidRPr="00E96396" w:rsidRDefault="005E3B1F" w:rsidP="001726C1">
            <w:pPr>
              <w:spacing w:after="0" w:line="240" w:lineRule="auto"/>
              <w:rPr>
                <w:rFonts w:ascii="Calibri" w:eastAsia="Times New Roman" w:hAnsi="Calibri" w:cs="Calibri"/>
                <w:color w:val="000000"/>
                <w:lang w:eastAsia="it-IT"/>
              </w:rPr>
            </w:pPr>
            <w:r w:rsidRPr="00E96396">
              <w:rPr>
                <w:rFonts w:ascii="Calibri" w:eastAsia="Times New Roman" w:hAnsi="Calibri" w:cs="Calibri"/>
                <w:color w:val="000000"/>
                <w:lang w:eastAsia="it-IT"/>
              </w:rPr>
              <w:t>29.18</w:t>
            </w:r>
          </w:p>
        </w:tc>
      </w:tr>
      <w:tr w:rsidR="005E3B1F" w:rsidRPr="00E96396" w14:paraId="6FA1C72B" w14:textId="77777777" w:rsidTr="001726C1">
        <w:trPr>
          <w:trHeight w:val="300"/>
        </w:trPr>
        <w:tc>
          <w:tcPr>
            <w:tcW w:w="804" w:type="pct"/>
            <w:tcBorders>
              <w:top w:val="nil"/>
              <w:left w:val="nil"/>
              <w:bottom w:val="nil"/>
              <w:right w:val="nil"/>
            </w:tcBorders>
            <w:shd w:val="clear" w:color="auto" w:fill="auto"/>
            <w:noWrap/>
            <w:vAlign w:val="bottom"/>
            <w:hideMark/>
          </w:tcPr>
          <w:p w14:paraId="7204CEA2" w14:textId="77777777" w:rsidR="005E3B1F" w:rsidRPr="00E96396" w:rsidRDefault="005E3B1F" w:rsidP="001726C1">
            <w:pPr>
              <w:spacing w:after="0" w:line="240" w:lineRule="auto"/>
              <w:rPr>
                <w:rFonts w:ascii="Calibri" w:eastAsia="Times New Roman" w:hAnsi="Calibri" w:cs="Calibri"/>
                <w:i/>
                <w:color w:val="000000"/>
                <w:lang w:eastAsia="it-IT"/>
              </w:rPr>
            </w:pPr>
            <w:r w:rsidRPr="00E96396">
              <w:rPr>
                <w:rFonts w:ascii="Calibri" w:eastAsia="Times New Roman" w:hAnsi="Calibri" w:cs="Calibri"/>
                <w:i/>
                <w:color w:val="000000"/>
                <w:lang w:eastAsia="it-IT"/>
              </w:rPr>
              <w:t>Rarely</w:t>
            </w:r>
          </w:p>
        </w:tc>
        <w:tc>
          <w:tcPr>
            <w:tcW w:w="1430" w:type="pct"/>
            <w:tcBorders>
              <w:top w:val="nil"/>
              <w:left w:val="nil"/>
              <w:bottom w:val="nil"/>
              <w:right w:val="nil"/>
            </w:tcBorders>
            <w:shd w:val="clear" w:color="auto" w:fill="auto"/>
            <w:noWrap/>
            <w:vAlign w:val="bottom"/>
            <w:hideMark/>
          </w:tcPr>
          <w:p w14:paraId="3D781D34" w14:textId="77777777" w:rsidR="005E3B1F" w:rsidRPr="00E96396" w:rsidRDefault="005E3B1F" w:rsidP="001726C1">
            <w:pPr>
              <w:spacing w:after="0" w:line="240" w:lineRule="auto"/>
              <w:rPr>
                <w:rFonts w:ascii="Calibri" w:eastAsia="Times New Roman" w:hAnsi="Calibri" w:cs="Calibri"/>
                <w:color w:val="000000"/>
                <w:lang w:eastAsia="it-IT"/>
              </w:rPr>
            </w:pPr>
            <w:r w:rsidRPr="00E96396">
              <w:rPr>
                <w:rFonts w:ascii="Calibri" w:eastAsia="Times New Roman" w:hAnsi="Calibri" w:cs="Calibri"/>
                <w:color w:val="000000"/>
                <w:lang w:eastAsia="it-IT"/>
              </w:rPr>
              <w:t>23.74</w:t>
            </w:r>
          </w:p>
        </w:tc>
        <w:tc>
          <w:tcPr>
            <w:tcW w:w="1305" w:type="pct"/>
            <w:tcBorders>
              <w:top w:val="nil"/>
              <w:left w:val="nil"/>
              <w:bottom w:val="nil"/>
              <w:right w:val="nil"/>
            </w:tcBorders>
            <w:shd w:val="clear" w:color="auto" w:fill="auto"/>
            <w:noWrap/>
            <w:vAlign w:val="bottom"/>
            <w:hideMark/>
          </w:tcPr>
          <w:p w14:paraId="44053393" w14:textId="77777777" w:rsidR="005E3B1F" w:rsidRPr="00E96396" w:rsidRDefault="005E3B1F" w:rsidP="001726C1">
            <w:pPr>
              <w:spacing w:after="0" w:line="240" w:lineRule="auto"/>
              <w:rPr>
                <w:rFonts w:ascii="Calibri" w:eastAsia="Times New Roman" w:hAnsi="Calibri" w:cs="Calibri"/>
                <w:color w:val="000000"/>
                <w:lang w:eastAsia="it-IT"/>
              </w:rPr>
            </w:pPr>
            <w:r w:rsidRPr="00E96396">
              <w:rPr>
                <w:rFonts w:ascii="Calibri" w:eastAsia="Times New Roman" w:hAnsi="Calibri" w:cs="Calibri"/>
                <w:color w:val="000000"/>
                <w:lang w:eastAsia="it-IT"/>
              </w:rPr>
              <w:t>17.93</w:t>
            </w:r>
          </w:p>
        </w:tc>
        <w:tc>
          <w:tcPr>
            <w:tcW w:w="1461" w:type="pct"/>
            <w:tcBorders>
              <w:top w:val="nil"/>
              <w:left w:val="nil"/>
              <w:bottom w:val="nil"/>
              <w:right w:val="nil"/>
            </w:tcBorders>
            <w:shd w:val="clear" w:color="auto" w:fill="auto"/>
            <w:noWrap/>
            <w:vAlign w:val="bottom"/>
            <w:hideMark/>
          </w:tcPr>
          <w:p w14:paraId="16986685" w14:textId="77777777" w:rsidR="005E3B1F" w:rsidRPr="00E96396" w:rsidRDefault="005E3B1F" w:rsidP="001726C1">
            <w:pPr>
              <w:spacing w:after="0" w:line="240" w:lineRule="auto"/>
              <w:rPr>
                <w:rFonts w:ascii="Calibri" w:eastAsia="Times New Roman" w:hAnsi="Calibri" w:cs="Calibri"/>
                <w:color w:val="000000"/>
                <w:lang w:eastAsia="it-IT"/>
              </w:rPr>
            </w:pPr>
            <w:r w:rsidRPr="00E96396">
              <w:rPr>
                <w:rFonts w:ascii="Calibri" w:eastAsia="Times New Roman" w:hAnsi="Calibri" w:cs="Calibri"/>
                <w:color w:val="000000"/>
                <w:lang w:eastAsia="it-IT"/>
              </w:rPr>
              <w:t>14.41</w:t>
            </w:r>
          </w:p>
        </w:tc>
      </w:tr>
      <w:tr w:rsidR="005E3B1F" w:rsidRPr="00E96396" w14:paraId="3D58F327" w14:textId="77777777" w:rsidTr="001726C1">
        <w:trPr>
          <w:trHeight w:val="300"/>
        </w:trPr>
        <w:tc>
          <w:tcPr>
            <w:tcW w:w="804" w:type="pct"/>
            <w:tcBorders>
              <w:top w:val="nil"/>
              <w:left w:val="nil"/>
              <w:bottom w:val="single" w:sz="4" w:space="0" w:color="auto"/>
              <w:right w:val="nil"/>
            </w:tcBorders>
            <w:shd w:val="clear" w:color="auto" w:fill="auto"/>
            <w:noWrap/>
            <w:vAlign w:val="bottom"/>
            <w:hideMark/>
          </w:tcPr>
          <w:p w14:paraId="2C62A812" w14:textId="77777777" w:rsidR="005E3B1F" w:rsidRPr="00E96396" w:rsidRDefault="005E3B1F" w:rsidP="001726C1">
            <w:pPr>
              <w:spacing w:after="0" w:line="240" w:lineRule="auto"/>
              <w:rPr>
                <w:rFonts w:ascii="Calibri" w:eastAsia="Times New Roman" w:hAnsi="Calibri" w:cs="Calibri"/>
                <w:i/>
                <w:color w:val="000000"/>
                <w:lang w:eastAsia="it-IT"/>
              </w:rPr>
            </w:pPr>
            <w:r w:rsidRPr="00E96396">
              <w:rPr>
                <w:rFonts w:ascii="Calibri" w:eastAsia="Times New Roman" w:hAnsi="Calibri" w:cs="Calibri"/>
                <w:i/>
                <w:color w:val="000000"/>
                <w:lang w:eastAsia="it-IT"/>
              </w:rPr>
              <w:t>Never</w:t>
            </w:r>
          </w:p>
        </w:tc>
        <w:tc>
          <w:tcPr>
            <w:tcW w:w="1430" w:type="pct"/>
            <w:tcBorders>
              <w:top w:val="nil"/>
              <w:left w:val="nil"/>
              <w:bottom w:val="single" w:sz="4" w:space="0" w:color="auto"/>
              <w:right w:val="nil"/>
            </w:tcBorders>
            <w:shd w:val="clear" w:color="auto" w:fill="auto"/>
            <w:noWrap/>
            <w:vAlign w:val="bottom"/>
            <w:hideMark/>
          </w:tcPr>
          <w:p w14:paraId="5FD6804C" w14:textId="77777777" w:rsidR="005E3B1F" w:rsidRPr="00E96396" w:rsidRDefault="005E3B1F" w:rsidP="001726C1">
            <w:pPr>
              <w:spacing w:after="0" w:line="240" w:lineRule="auto"/>
              <w:rPr>
                <w:rFonts w:ascii="Calibri" w:eastAsia="Times New Roman" w:hAnsi="Calibri" w:cs="Calibri"/>
                <w:color w:val="000000"/>
                <w:lang w:eastAsia="it-IT"/>
              </w:rPr>
            </w:pPr>
            <w:r w:rsidRPr="00E96396">
              <w:rPr>
                <w:rFonts w:ascii="Calibri" w:eastAsia="Times New Roman" w:hAnsi="Calibri" w:cs="Calibri"/>
                <w:color w:val="000000"/>
                <w:lang w:eastAsia="it-IT"/>
              </w:rPr>
              <w:t>34.13</w:t>
            </w:r>
          </w:p>
        </w:tc>
        <w:tc>
          <w:tcPr>
            <w:tcW w:w="1305" w:type="pct"/>
            <w:tcBorders>
              <w:top w:val="nil"/>
              <w:left w:val="nil"/>
              <w:bottom w:val="single" w:sz="4" w:space="0" w:color="auto"/>
              <w:right w:val="nil"/>
            </w:tcBorders>
            <w:shd w:val="clear" w:color="auto" w:fill="auto"/>
            <w:noWrap/>
            <w:vAlign w:val="bottom"/>
            <w:hideMark/>
          </w:tcPr>
          <w:p w14:paraId="4304C192" w14:textId="77777777" w:rsidR="005E3B1F" w:rsidRPr="00E96396" w:rsidRDefault="005E3B1F" w:rsidP="001726C1">
            <w:pPr>
              <w:spacing w:after="0" w:line="240" w:lineRule="auto"/>
              <w:rPr>
                <w:rFonts w:ascii="Calibri" w:eastAsia="Times New Roman" w:hAnsi="Calibri" w:cs="Calibri"/>
                <w:color w:val="000000"/>
                <w:lang w:eastAsia="it-IT"/>
              </w:rPr>
            </w:pPr>
            <w:r w:rsidRPr="00E96396">
              <w:rPr>
                <w:rFonts w:ascii="Calibri" w:eastAsia="Times New Roman" w:hAnsi="Calibri" w:cs="Calibri"/>
                <w:color w:val="000000"/>
                <w:lang w:eastAsia="it-IT"/>
              </w:rPr>
              <w:t>22.45</w:t>
            </w:r>
          </w:p>
        </w:tc>
        <w:tc>
          <w:tcPr>
            <w:tcW w:w="1461" w:type="pct"/>
            <w:tcBorders>
              <w:top w:val="nil"/>
              <w:left w:val="nil"/>
              <w:bottom w:val="single" w:sz="4" w:space="0" w:color="auto"/>
              <w:right w:val="nil"/>
            </w:tcBorders>
            <w:shd w:val="clear" w:color="auto" w:fill="auto"/>
            <w:noWrap/>
            <w:vAlign w:val="bottom"/>
            <w:hideMark/>
          </w:tcPr>
          <w:p w14:paraId="2882CF57" w14:textId="77777777" w:rsidR="005E3B1F" w:rsidRPr="00E96396" w:rsidRDefault="005E3B1F" w:rsidP="001726C1">
            <w:pPr>
              <w:spacing w:after="0" w:line="240" w:lineRule="auto"/>
              <w:rPr>
                <w:rFonts w:ascii="Calibri" w:eastAsia="Times New Roman" w:hAnsi="Calibri" w:cs="Calibri"/>
                <w:color w:val="000000"/>
                <w:lang w:eastAsia="it-IT"/>
              </w:rPr>
            </w:pPr>
            <w:r w:rsidRPr="00E96396">
              <w:rPr>
                <w:rFonts w:ascii="Calibri" w:eastAsia="Times New Roman" w:hAnsi="Calibri" w:cs="Calibri"/>
                <w:color w:val="000000"/>
                <w:lang w:eastAsia="it-IT"/>
              </w:rPr>
              <w:t>18.13</w:t>
            </w:r>
          </w:p>
        </w:tc>
      </w:tr>
      <w:tr w:rsidR="005E3B1F" w:rsidRPr="00E96396" w14:paraId="14A85B9D" w14:textId="77777777" w:rsidTr="001726C1">
        <w:trPr>
          <w:trHeight w:val="300"/>
        </w:trPr>
        <w:tc>
          <w:tcPr>
            <w:tcW w:w="804" w:type="pct"/>
            <w:tcBorders>
              <w:top w:val="single" w:sz="4" w:space="0" w:color="auto"/>
              <w:left w:val="nil"/>
              <w:bottom w:val="single" w:sz="4" w:space="0" w:color="auto"/>
              <w:right w:val="nil"/>
            </w:tcBorders>
            <w:shd w:val="clear" w:color="auto" w:fill="auto"/>
            <w:noWrap/>
            <w:vAlign w:val="bottom"/>
            <w:hideMark/>
          </w:tcPr>
          <w:p w14:paraId="18750200" w14:textId="77777777" w:rsidR="005E3B1F" w:rsidRPr="00E96396" w:rsidRDefault="005E3B1F" w:rsidP="001726C1">
            <w:pPr>
              <w:spacing w:after="0" w:line="240" w:lineRule="auto"/>
              <w:rPr>
                <w:rFonts w:ascii="Calibri" w:eastAsia="Times New Roman" w:hAnsi="Calibri" w:cs="Calibri"/>
                <w:color w:val="000000"/>
                <w:lang w:eastAsia="it-IT"/>
              </w:rPr>
            </w:pPr>
            <w:r w:rsidRPr="00E96396">
              <w:rPr>
                <w:rFonts w:ascii="Calibri" w:eastAsia="Times New Roman" w:hAnsi="Calibri" w:cs="Calibri"/>
                <w:color w:val="000000"/>
                <w:lang w:eastAsia="it-IT"/>
              </w:rPr>
              <w:t>Total</w:t>
            </w:r>
          </w:p>
        </w:tc>
        <w:tc>
          <w:tcPr>
            <w:tcW w:w="1430" w:type="pct"/>
            <w:tcBorders>
              <w:top w:val="single" w:sz="4" w:space="0" w:color="auto"/>
              <w:left w:val="nil"/>
              <w:bottom w:val="single" w:sz="4" w:space="0" w:color="auto"/>
              <w:right w:val="nil"/>
            </w:tcBorders>
            <w:shd w:val="clear" w:color="auto" w:fill="auto"/>
            <w:noWrap/>
            <w:vAlign w:val="bottom"/>
            <w:hideMark/>
          </w:tcPr>
          <w:p w14:paraId="5BDA83E1" w14:textId="77777777" w:rsidR="005E3B1F" w:rsidRPr="00E96396" w:rsidRDefault="005E3B1F" w:rsidP="001726C1">
            <w:pPr>
              <w:spacing w:after="0" w:line="240" w:lineRule="auto"/>
              <w:rPr>
                <w:rFonts w:ascii="Calibri" w:eastAsia="Times New Roman" w:hAnsi="Calibri" w:cs="Calibri"/>
                <w:color w:val="000000"/>
                <w:lang w:eastAsia="it-IT"/>
              </w:rPr>
            </w:pPr>
            <w:r w:rsidRPr="00E96396">
              <w:rPr>
                <w:rFonts w:ascii="Calibri" w:eastAsia="Times New Roman" w:hAnsi="Calibri" w:cs="Calibri"/>
                <w:color w:val="000000"/>
                <w:lang w:eastAsia="it-IT"/>
              </w:rPr>
              <w:t>100.00</w:t>
            </w:r>
          </w:p>
        </w:tc>
        <w:tc>
          <w:tcPr>
            <w:tcW w:w="1305" w:type="pct"/>
            <w:tcBorders>
              <w:top w:val="single" w:sz="4" w:space="0" w:color="auto"/>
              <w:left w:val="nil"/>
              <w:bottom w:val="single" w:sz="4" w:space="0" w:color="auto"/>
              <w:right w:val="nil"/>
            </w:tcBorders>
            <w:shd w:val="clear" w:color="auto" w:fill="auto"/>
            <w:noWrap/>
            <w:vAlign w:val="bottom"/>
            <w:hideMark/>
          </w:tcPr>
          <w:p w14:paraId="69022C52" w14:textId="77777777" w:rsidR="005E3B1F" w:rsidRPr="00E96396" w:rsidRDefault="005E3B1F" w:rsidP="001726C1">
            <w:pPr>
              <w:spacing w:after="0" w:line="240" w:lineRule="auto"/>
              <w:rPr>
                <w:rFonts w:ascii="Calibri" w:eastAsia="Times New Roman" w:hAnsi="Calibri" w:cs="Calibri"/>
                <w:color w:val="000000"/>
                <w:lang w:eastAsia="it-IT"/>
              </w:rPr>
            </w:pPr>
            <w:r w:rsidRPr="00E96396">
              <w:rPr>
                <w:rFonts w:ascii="Calibri" w:eastAsia="Times New Roman" w:hAnsi="Calibri" w:cs="Calibri"/>
                <w:color w:val="000000"/>
                <w:lang w:eastAsia="it-IT"/>
              </w:rPr>
              <w:t>100.00</w:t>
            </w:r>
          </w:p>
        </w:tc>
        <w:tc>
          <w:tcPr>
            <w:tcW w:w="1461" w:type="pct"/>
            <w:tcBorders>
              <w:top w:val="single" w:sz="4" w:space="0" w:color="auto"/>
              <w:left w:val="nil"/>
              <w:bottom w:val="single" w:sz="4" w:space="0" w:color="auto"/>
              <w:right w:val="nil"/>
            </w:tcBorders>
            <w:shd w:val="clear" w:color="auto" w:fill="auto"/>
            <w:noWrap/>
            <w:vAlign w:val="bottom"/>
            <w:hideMark/>
          </w:tcPr>
          <w:p w14:paraId="136B40F9" w14:textId="77777777" w:rsidR="005E3B1F" w:rsidRPr="00E96396" w:rsidRDefault="005E3B1F" w:rsidP="001726C1">
            <w:pPr>
              <w:keepNext/>
              <w:spacing w:after="0" w:line="240" w:lineRule="auto"/>
              <w:rPr>
                <w:rFonts w:ascii="Calibri" w:eastAsia="Times New Roman" w:hAnsi="Calibri" w:cs="Calibri"/>
                <w:color w:val="000000"/>
                <w:lang w:eastAsia="it-IT"/>
              </w:rPr>
            </w:pPr>
            <w:r w:rsidRPr="00E96396">
              <w:rPr>
                <w:rFonts w:ascii="Calibri" w:eastAsia="Times New Roman" w:hAnsi="Calibri" w:cs="Calibri"/>
                <w:color w:val="000000"/>
                <w:lang w:eastAsia="it-IT"/>
              </w:rPr>
              <w:t>100.00</w:t>
            </w:r>
          </w:p>
        </w:tc>
      </w:tr>
    </w:tbl>
    <w:p w14:paraId="19CF50A2" w14:textId="7259CD63" w:rsidR="005E3B1F" w:rsidRDefault="005E3B1F" w:rsidP="005E3B1F">
      <w:pPr>
        <w:pStyle w:val="Didascalia"/>
        <w:rPr>
          <w:rFonts w:cstheme="minorHAnsi"/>
          <w:lang w:val="en-GB"/>
        </w:rPr>
      </w:pPr>
      <w:r w:rsidRPr="0049616D">
        <w:rPr>
          <w:lang w:val="en-GB"/>
        </w:rPr>
        <w:t xml:space="preserve">Table </w:t>
      </w:r>
      <w:r>
        <w:fldChar w:fldCharType="begin"/>
      </w:r>
      <w:r w:rsidRPr="0049616D">
        <w:rPr>
          <w:lang w:val="en-GB"/>
        </w:rPr>
        <w:instrText xml:space="preserve"> SEQ Table \* ARABIC </w:instrText>
      </w:r>
      <w:r>
        <w:fldChar w:fldCharType="separate"/>
      </w:r>
      <w:r w:rsidR="00212D63">
        <w:rPr>
          <w:noProof/>
          <w:lang w:val="en-GB"/>
        </w:rPr>
        <w:t>2</w:t>
      </w:r>
      <w:r>
        <w:fldChar w:fldCharType="end"/>
      </w:r>
      <w:r w:rsidRPr="0049616D">
        <w:rPr>
          <w:lang w:val="en-GB"/>
        </w:rPr>
        <w:t xml:space="preserve">. </w:t>
      </w:r>
      <w:r>
        <w:rPr>
          <w:lang w:val="en-GB"/>
        </w:rPr>
        <w:t xml:space="preserve">Percentage of people aged 25+ that purchase organic products, local products, and read labels. </w:t>
      </w:r>
    </w:p>
    <w:p w14:paraId="58F54802" w14:textId="77777777" w:rsidR="008770F0" w:rsidRDefault="008770F0" w:rsidP="005E3B1F">
      <w:pPr>
        <w:spacing w:before="60" w:after="60"/>
        <w:jc w:val="both"/>
        <w:rPr>
          <w:rFonts w:cstheme="minorHAnsi"/>
          <w:lang w:val="en-GB"/>
        </w:rPr>
      </w:pPr>
    </w:p>
    <w:p w14:paraId="41550BFA" w14:textId="74040308" w:rsidR="005E3B1F" w:rsidRDefault="005E3B1F" w:rsidP="005E3B1F">
      <w:pPr>
        <w:spacing w:before="60" w:after="60"/>
        <w:jc w:val="both"/>
        <w:rPr>
          <w:rFonts w:cstheme="minorHAnsi"/>
          <w:lang w:val="en-GB"/>
        </w:rPr>
      </w:pPr>
      <w:r>
        <w:rPr>
          <w:rFonts w:cstheme="minorHAnsi"/>
          <w:lang w:val="en-GB"/>
        </w:rPr>
        <w:t xml:space="preserve">Additional analysis, however, indicate that sustainability is far from being a uniform pattern, as it does not cut across all socioeconomic groups. We recoded the three variables into dummies (0 = Rarely/Never; 1 = </w:t>
      </w:r>
      <w:r>
        <w:rPr>
          <w:rFonts w:cstheme="minorHAnsi"/>
          <w:lang w:val="en-GB"/>
        </w:rPr>
        <w:lastRenderedPageBreak/>
        <w:t xml:space="preserve">regularly/sometimes), and we also considered a fourth dependent variable indicating whether the respondent is normo-weight (0) vs overweight or obese (1). For each dependent variable, we applied a logistic regression. All models control for age, educational level (degree, upper secondary, lower secondary, primary), professional position (bourgeoisie, white collars, petty-bourgeoisie, working class), gender, family type (single, couple with/without children, single parent), marital status (unmarried, married/living together, separated/divorced, widow), number of people in the household. </w:t>
      </w:r>
    </w:p>
    <w:p w14:paraId="76B94757" w14:textId="3D5BBB3D" w:rsidR="005E3B1F" w:rsidRDefault="005E3B1F" w:rsidP="005E3B1F">
      <w:pPr>
        <w:spacing w:before="60" w:after="60"/>
        <w:jc w:val="both"/>
        <w:rPr>
          <w:rFonts w:cstheme="minorHAnsi"/>
          <w:lang w:val="en-GB"/>
        </w:rPr>
      </w:pPr>
      <w:r>
        <w:rPr>
          <w:rFonts w:cstheme="minorHAnsi"/>
          <w:lang w:val="en-GB"/>
        </w:rPr>
        <w:t xml:space="preserve">Figure </w:t>
      </w:r>
      <w:r w:rsidR="000238AD">
        <w:rPr>
          <w:rFonts w:cstheme="minorHAnsi"/>
          <w:lang w:val="en-GB"/>
        </w:rPr>
        <w:t>6</w:t>
      </w:r>
      <w:r>
        <w:rPr>
          <w:rFonts w:cstheme="minorHAnsi"/>
          <w:lang w:val="en-GB"/>
        </w:rPr>
        <w:t xml:space="preserve"> shows the linear prediction for the educational level, which is among the best predictors of sustainable consumption patterns. As it is possible to see, educational level has a strong monotonic effect on the probability of engaging in the three consumption patterns under observation, as well as on the probability of being overweight or obese. The difference between the highest and the lowest educational level considered is 22.6 percentage points (pp) in the case of organic products and 11.8 pp in the case of local products. Similarly, individuals with a degree are 20.5 pp more likely to read labels than those with a primary education, who are also 15.2 pp more likely to be overweight/obese. </w:t>
      </w:r>
    </w:p>
    <w:p w14:paraId="3CF2C66C" w14:textId="77777777" w:rsidR="005E3B1F" w:rsidRDefault="005E3B1F" w:rsidP="005E3B1F">
      <w:pPr>
        <w:spacing w:before="60" w:after="60"/>
        <w:jc w:val="both"/>
        <w:rPr>
          <w:rFonts w:cstheme="minorHAnsi"/>
          <w:lang w:val="en-GB"/>
        </w:rPr>
      </w:pPr>
    </w:p>
    <w:p w14:paraId="48B2F3C7" w14:textId="77777777" w:rsidR="005E3B1F" w:rsidRDefault="005E3B1F" w:rsidP="005E3B1F">
      <w:pPr>
        <w:keepNext/>
        <w:spacing w:before="60" w:after="60"/>
        <w:jc w:val="center"/>
      </w:pPr>
      <w:r>
        <w:rPr>
          <w:rFonts w:cstheme="minorHAnsi"/>
          <w:noProof/>
          <w:lang w:val="en-GB" w:eastAsia="en-GB"/>
        </w:rPr>
        <w:drawing>
          <wp:inline distT="0" distB="0" distL="0" distR="0" wp14:anchorId="4CD45E9A" wp14:editId="0A3E1E0E">
            <wp:extent cx="5551313" cy="403993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image.png"/>
                    <pic:cNvPicPr/>
                  </pic:nvPicPr>
                  <pic:blipFill>
                    <a:blip r:embed="rId14">
                      <a:extLst>
                        <a:ext uri="{28A0092B-C50C-407E-A947-70E740481C1C}">
                          <a14:useLocalDpi xmlns:a14="http://schemas.microsoft.com/office/drawing/2010/main" val="0"/>
                        </a:ext>
                      </a:extLst>
                    </a:blip>
                    <a:stretch>
                      <a:fillRect/>
                    </a:stretch>
                  </pic:blipFill>
                  <pic:spPr>
                    <a:xfrm>
                      <a:off x="0" y="0"/>
                      <a:ext cx="5556506" cy="4043716"/>
                    </a:xfrm>
                    <a:prstGeom prst="rect">
                      <a:avLst/>
                    </a:prstGeom>
                  </pic:spPr>
                </pic:pic>
              </a:graphicData>
            </a:graphic>
          </wp:inline>
        </w:drawing>
      </w:r>
    </w:p>
    <w:p w14:paraId="143EEB44" w14:textId="7BB56ECD" w:rsidR="005E3B1F" w:rsidRPr="006013B3" w:rsidRDefault="005E3B1F" w:rsidP="005E3B1F">
      <w:pPr>
        <w:pStyle w:val="Didascalia"/>
        <w:jc w:val="center"/>
        <w:rPr>
          <w:rFonts w:cstheme="minorHAnsi"/>
          <w:lang w:val="en-GB"/>
        </w:rPr>
      </w:pPr>
      <w:r w:rsidRPr="0049616D">
        <w:rPr>
          <w:lang w:val="en-GB"/>
        </w:rPr>
        <w:t xml:space="preserve">Figure </w:t>
      </w:r>
      <w:r>
        <w:fldChar w:fldCharType="begin"/>
      </w:r>
      <w:r w:rsidRPr="0049616D">
        <w:rPr>
          <w:lang w:val="en-GB"/>
        </w:rPr>
        <w:instrText xml:space="preserve"> SEQ Figure \* ARABIC </w:instrText>
      </w:r>
      <w:r>
        <w:fldChar w:fldCharType="separate"/>
      </w:r>
      <w:r w:rsidR="00212D63">
        <w:rPr>
          <w:noProof/>
          <w:lang w:val="en-GB"/>
        </w:rPr>
        <w:t>7</w:t>
      </w:r>
      <w:r>
        <w:fldChar w:fldCharType="end"/>
      </w:r>
      <w:r w:rsidRPr="0049616D">
        <w:rPr>
          <w:lang w:val="en-GB"/>
        </w:rPr>
        <w:t xml:space="preserve">. Marginal effect on the probability of </w:t>
      </w:r>
      <w:r>
        <w:rPr>
          <w:lang w:val="en-GB"/>
        </w:rPr>
        <w:t xml:space="preserve">purchasing organic and local products, reading labels of food products, and being overweight or obese by educational level of the respondent.  </w:t>
      </w:r>
    </w:p>
    <w:p w14:paraId="3993BDC6" w14:textId="77777777" w:rsidR="00E34E80" w:rsidRPr="00440567" w:rsidRDefault="00E34E80" w:rsidP="00B560A1">
      <w:pPr>
        <w:spacing w:before="60" w:after="60"/>
        <w:jc w:val="center"/>
        <w:rPr>
          <w:rFonts w:cstheme="minorHAnsi"/>
          <w:lang w:val="en-GB"/>
        </w:rPr>
      </w:pPr>
    </w:p>
    <w:p w14:paraId="39779978" w14:textId="7C402075" w:rsidR="003A3E0E" w:rsidRPr="00AD4F9F" w:rsidRDefault="00C4666E" w:rsidP="00C96891">
      <w:pPr>
        <w:pStyle w:val="Titolo2"/>
        <w:numPr>
          <w:ilvl w:val="0"/>
          <w:numId w:val="5"/>
        </w:numPr>
        <w:spacing w:before="60" w:after="60"/>
        <w:ind w:left="284" w:hanging="284"/>
        <w:jc w:val="both"/>
        <w:rPr>
          <w:rFonts w:asciiTheme="minorHAnsi" w:hAnsiTheme="minorHAnsi" w:cstheme="minorHAnsi"/>
          <w:b/>
          <w:lang w:val="en-GB"/>
        </w:rPr>
      </w:pPr>
      <w:r>
        <w:rPr>
          <w:rFonts w:asciiTheme="minorHAnsi" w:hAnsiTheme="minorHAnsi" w:cstheme="minorHAnsi"/>
          <w:b/>
          <w:lang w:val="en-GB"/>
        </w:rPr>
        <w:t xml:space="preserve">ICTs, </w:t>
      </w:r>
      <w:r w:rsidR="00E771E2">
        <w:rPr>
          <w:rFonts w:asciiTheme="minorHAnsi" w:hAnsiTheme="minorHAnsi" w:cstheme="minorHAnsi"/>
          <w:b/>
          <w:lang w:val="en-GB"/>
        </w:rPr>
        <w:t xml:space="preserve">Online shopping and </w:t>
      </w:r>
      <w:r w:rsidR="00D6476A" w:rsidRPr="00AD4F9F">
        <w:rPr>
          <w:rFonts w:asciiTheme="minorHAnsi" w:hAnsiTheme="minorHAnsi" w:cstheme="minorHAnsi"/>
          <w:b/>
          <w:lang w:val="en-GB"/>
        </w:rPr>
        <w:t>Digital food platforms</w:t>
      </w:r>
    </w:p>
    <w:p w14:paraId="1AA09BAE" w14:textId="2387A720" w:rsidR="00745667" w:rsidRDefault="004348CA" w:rsidP="00220A8C">
      <w:pPr>
        <w:jc w:val="both"/>
        <w:rPr>
          <w:lang w:val="en-GB"/>
        </w:rPr>
      </w:pPr>
      <w:r>
        <w:rPr>
          <w:lang w:val="en-GB"/>
        </w:rPr>
        <w:t>Compared to continental and northern European countries, ICT</w:t>
      </w:r>
      <w:r w:rsidR="00481F36">
        <w:rPr>
          <w:lang w:val="en-GB"/>
        </w:rPr>
        <w:t>s</w:t>
      </w:r>
      <w:r>
        <w:rPr>
          <w:lang w:val="en-GB"/>
        </w:rPr>
        <w:t xml:space="preserve"> in Italy lag behind</w:t>
      </w:r>
      <w:r w:rsidR="00192B63">
        <w:rPr>
          <w:lang w:val="en-GB"/>
        </w:rPr>
        <w:t xml:space="preserve">. </w:t>
      </w:r>
      <w:r w:rsidRPr="00A928A1">
        <w:rPr>
          <w:lang w:val="en-GB"/>
        </w:rPr>
        <w:t>Whether from a business or a consumer perspective, e-commerce and internet use statistics indicate the digital divide is still a relevant force at play</w:t>
      </w:r>
      <w:r w:rsidR="00AD4F9F" w:rsidRPr="00A928A1">
        <w:rPr>
          <w:lang w:val="en-GB"/>
        </w:rPr>
        <w:t>, especially in rural and less economically active areas of the country</w:t>
      </w:r>
      <w:r w:rsidR="0049616D" w:rsidRPr="00A928A1">
        <w:rPr>
          <w:lang w:val="en-GB"/>
        </w:rPr>
        <w:t xml:space="preserve"> (Rete Rurale Nazionale, 2016)</w:t>
      </w:r>
      <w:r w:rsidRPr="00A928A1">
        <w:rPr>
          <w:lang w:val="en-GB"/>
        </w:rPr>
        <w:t>.</w:t>
      </w:r>
      <w:r w:rsidR="00192B63">
        <w:rPr>
          <w:lang w:val="en-GB"/>
        </w:rPr>
        <w:t xml:space="preserve"> Small enterprises, which are a peculiar characteristic of the Italian economic system, present low level</w:t>
      </w:r>
      <w:r w:rsidR="005A19C8">
        <w:rPr>
          <w:lang w:val="en-GB"/>
        </w:rPr>
        <w:t>s</w:t>
      </w:r>
      <w:r w:rsidR="00192B63">
        <w:rPr>
          <w:lang w:val="en-GB"/>
        </w:rPr>
        <w:t xml:space="preserve"> of digitalisation of the sector (Istat, 2017)</w:t>
      </w:r>
      <w:r>
        <w:rPr>
          <w:lang w:val="en-GB"/>
        </w:rPr>
        <w:t xml:space="preserve"> </w:t>
      </w:r>
      <w:r w:rsidR="008479BF">
        <w:rPr>
          <w:lang w:val="en-GB"/>
        </w:rPr>
        <w:t>According to the Eurobarometer (2016) report, in 2014 less than half of Italian households had internet access (41%)</w:t>
      </w:r>
      <w:r w:rsidR="00220A8C">
        <w:rPr>
          <w:lang w:val="en-GB"/>
        </w:rPr>
        <w:t xml:space="preserve">, compared to </w:t>
      </w:r>
      <w:r w:rsidR="00745667">
        <w:rPr>
          <w:lang w:val="en-GB"/>
        </w:rPr>
        <w:t>a</w:t>
      </w:r>
      <w:r w:rsidR="00777A97">
        <w:rPr>
          <w:lang w:val="en-GB"/>
        </w:rPr>
        <w:t>n</w:t>
      </w:r>
      <w:r w:rsidR="008479BF">
        <w:rPr>
          <w:lang w:val="en-GB"/>
        </w:rPr>
        <w:t xml:space="preserve"> EU average of 67%. </w:t>
      </w:r>
      <w:r w:rsidR="003F456B">
        <w:rPr>
          <w:lang w:val="en-GB"/>
        </w:rPr>
        <w:t>Similarly, internet is less used</w:t>
      </w:r>
      <w:r w:rsidR="00220A8C">
        <w:rPr>
          <w:lang w:val="en-GB"/>
        </w:rPr>
        <w:t xml:space="preserve"> to sell goods or services (8%) compared to the EU average (23%). Although </w:t>
      </w:r>
      <w:r w:rsidR="00220A8C">
        <w:rPr>
          <w:lang w:val="en-GB"/>
        </w:rPr>
        <w:lastRenderedPageBreak/>
        <w:t>among younger cohorts and in urban areas this divide tend</w:t>
      </w:r>
      <w:r w:rsidR="003D03BD">
        <w:rPr>
          <w:lang w:val="en-GB"/>
        </w:rPr>
        <w:t>s</w:t>
      </w:r>
      <w:r w:rsidR="00220A8C">
        <w:rPr>
          <w:lang w:val="en-GB"/>
        </w:rPr>
        <w:t xml:space="preserve"> to disappear, </w:t>
      </w:r>
      <w:r w:rsidR="003D03BD">
        <w:rPr>
          <w:lang w:val="en-GB"/>
        </w:rPr>
        <w:t>the overall</w:t>
      </w:r>
      <w:r w:rsidR="00220A8C">
        <w:rPr>
          <w:lang w:val="en-GB"/>
        </w:rPr>
        <w:t xml:space="preserve"> delay can partly explain why food e-commerce is still in its early days:</w:t>
      </w:r>
      <w:r w:rsidR="003D03BD">
        <w:rPr>
          <w:lang w:val="en-GB"/>
        </w:rPr>
        <w:t xml:space="preserve"> in 2016</w:t>
      </w:r>
      <w:r w:rsidR="00220A8C">
        <w:rPr>
          <w:lang w:val="en-GB"/>
        </w:rPr>
        <w:t xml:space="preserve"> only 8% of Italian</w:t>
      </w:r>
      <w:r w:rsidR="003D03BD">
        <w:rPr>
          <w:lang w:val="en-GB"/>
        </w:rPr>
        <w:t>s</w:t>
      </w:r>
      <w:r w:rsidR="00220A8C">
        <w:rPr>
          <w:lang w:val="en-GB"/>
        </w:rPr>
        <w:t xml:space="preserve"> ordered groceries online </w:t>
      </w:r>
      <w:r w:rsidR="003D03BD">
        <w:rPr>
          <w:lang w:val="en-GB"/>
        </w:rPr>
        <w:t>at least once a year</w:t>
      </w:r>
      <w:r w:rsidR="00C42E3E">
        <w:rPr>
          <w:lang w:val="en-GB"/>
        </w:rPr>
        <w:t>, and the share on the total food and groceries expenditure is just the 0.35%</w:t>
      </w:r>
      <w:r w:rsidR="003D03BD">
        <w:rPr>
          <w:lang w:val="en-GB"/>
        </w:rPr>
        <w:t>. Nevertheless, the sector is rapidly growing</w:t>
      </w:r>
      <w:r w:rsidR="00745667">
        <w:rPr>
          <w:lang w:val="en-GB"/>
        </w:rPr>
        <w:t xml:space="preserve"> (30% increase between 2015 and 2016)</w:t>
      </w:r>
      <w:r w:rsidR="003D03BD">
        <w:rPr>
          <w:lang w:val="en-GB"/>
        </w:rPr>
        <w:t>, as the number of companies using internet as the unique</w:t>
      </w:r>
      <w:r w:rsidR="00745667">
        <w:rPr>
          <w:lang w:val="en-GB"/>
        </w:rPr>
        <w:t xml:space="preserve"> (33%)</w:t>
      </w:r>
      <w:r w:rsidR="003D03BD">
        <w:rPr>
          <w:lang w:val="en-GB"/>
        </w:rPr>
        <w:t xml:space="preserve"> or complementary</w:t>
      </w:r>
      <w:r w:rsidR="00745667">
        <w:rPr>
          <w:lang w:val="en-GB"/>
        </w:rPr>
        <w:t xml:space="preserve"> (67%)</w:t>
      </w:r>
      <w:r w:rsidR="003D03BD">
        <w:rPr>
          <w:lang w:val="en-GB"/>
        </w:rPr>
        <w:t xml:space="preserve"> </w:t>
      </w:r>
      <w:r w:rsidR="007C6203">
        <w:rPr>
          <w:lang w:val="en-GB"/>
        </w:rPr>
        <w:t>trade channel confirm</w:t>
      </w:r>
      <w:r w:rsidR="00745667">
        <w:rPr>
          <w:lang w:val="en-GB"/>
        </w:rPr>
        <w:t>s. T</w:t>
      </w:r>
      <w:r w:rsidR="00C42E3E">
        <w:rPr>
          <w:lang w:val="en-GB"/>
        </w:rPr>
        <w:t>he</w:t>
      </w:r>
      <w:r w:rsidR="00745667">
        <w:rPr>
          <w:lang w:val="en-GB"/>
        </w:rPr>
        <w:t xml:space="preserve"> total</w:t>
      </w:r>
      <w:r w:rsidR="00C42E3E">
        <w:rPr>
          <w:lang w:val="en-GB"/>
        </w:rPr>
        <w:t xml:space="preserve"> e-food market in 2016 a</w:t>
      </w:r>
      <w:r w:rsidR="00745667">
        <w:rPr>
          <w:lang w:val="en-GB"/>
        </w:rPr>
        <w:t>mounted to 575 million euros, and 40% is the share of online grocery shopping alone</w:t>
      </w:r>
      <w:r w:rsidR="0049616D">
        <w:rPr>
          <w:lang w:val="en-GB"/>
        </w:rPr>
        <w:t xml:space="preserve"> (Osservatori, 2016)</w:t>
      </w:r>
      <w:r w:rsidR="00745667">
        <w:rPr>
          <w:lang w:val="en-GB"/>
        </w:rPr>
        <w:t xml:space="preserve">. </w:t>
      </w:r>
    </w:p>
    <w:p w14:paraId="170F4BE2" w14:textId="4AC9EE05" w:rsidR="003F456B" w:rsidRDefault="00F2337D" w:rsidP="003F456B">
      <w:pPr>
        <w:jc w:val="both"/>
        <w:rPr>
          <w:lang w:val="en-GB"/>
        </w:rPr>
      </w:pPr>
      <w:r>
        <w:rPr>
          <w:lang w:val="en-GB"/>
        </w:rPr>
        <w:t>Although business models rapidly change, the e-food commerce seems now characterised by players that partially overlap with the traditional f</w:t>
      </w:r>
      <w:r w:rsidR="0049616D">
        <w:rPr>
          <w:lang w:val="en-GB"/>
        </w:rPr>
        <w:t>ood distribution sector. Table</w:t>
      </w:r>
      <w:r w:rsidR="00AD57C5">
        <w:rPr>
          <w:lang w:val="en-GB"/>
        </w:rPr>
        <w:t xml:space="preserve"> 3</w:t>
      </w:r>
      <w:r w:rsidR="0049616D">
        <w:rPr>
          <w:lang w:val="en-GB"/>
        </w:rPr>
        <w:t xml:space="preserve"> </w:t>
      </w:r>
      <w:r>
        <w:rPr>
          <w:lang w:val="en-GB"/>
        </w:rPr>
        <w:t>below proposes a</w:t>
      </w:r>
      <w:r w:rsidR="00853BE0">
        <w:rPr>
          <w:lang w:val="en-GB"/>
        </w:rPr>
        <w:t>n</w:t>
      </w:r>
      <w:r w:rsidR="00C4666E">
        <w:rPr>
          <w:lang w:val="en-GB"/>
        </w:rPr>
        <w:t xml:space="preserve"> attempted</w:t>
      </w:r>
      <w:r>
        <w:rPr>
          <w:lang w:val="en-GB"/>
        </w:rPr>
        <w:t xml:space="preserve"> taxonomy and a description of the most common supplier</w:t>
      </w:r>
      <w:r w:rsidR="00853BE0">
        <w:rPr>
          <w:lang w:val="en-GB"/>
        </w:rPr>
        <w:t xml:space="preserve"> available in the online market that can be compared with the codebook. </w:t>
      </w:r>
      <w:r w:rsidR="003F456B">
        <w:rPr>
          <w:lang w:val="en-GB"/>
        </w:rPr>
        <w:t xml:space="preserve">We distinguish between 4 main macro-food distributors, that partially overlap with the key players identified in section 1. </w:t>
      </w:r>
      <w:r w:rsidR="00452506">
        <w:rPr>
          <w:lang w:val="en-GB"/>
        </w:rPr>
        <w:t>Each category can contain different subcategories, and can be further distinguished depending on the type of economic objective</w:t>
      </w:r>
      <w:r w:rsidR="001A1581">
        <w:rPr>
          <w:lang w:val="en-GB"/>
        </w:rPr>
        <w:t xml:space="preserve"> (whether a revenue is searched by the owner or not) and on the type of products sold (whether the platforms sells brands or shows the producers).</w:t>
      </w:r>
    </w:p>
    <w:p w14:paraId="37816174" w14:textId="46246C0E" w:rsidR="00A82D5C" w:rsidRDefault="003F456B" w:rsidP="003F456B">
      <w:pPr>
        <w:pStyle w:val="Paragrafoelenco"/>
        <w:numPr>
          <w:ilvl w:val="0"/>
          <w:numId w:val="9"/>
        </w:numPr>
        <w:jc w:val="both"/>
        <w:rPr>
          <w:lang w:val="en-GB"/>
        </w:rPr>
      </w:pPr>
      <w:r w:rsidRPr="00C96891">
        <w:rPr>
          <w:b/>
          <w:lang w:val="en-GB"/>
        </w:rPr>
        <w:t>Mass retail</w:t>
      </w:r>
      <w:r w:rsidR="00C96891" w:rsidRPr="00C96891">
        <w:rPr>
          <w:b/>
          <w:lang w:val="en-GB"/>
        </w:rPr>
        <w:t xml:space="preserve"> channel</w:t>
      </w:r>
      <w:r w:rsidRPr="00C96891">
        <w:rPr>
          <w:b/>
          <w:lang w:val="en-GB"/>
        </w:rPr>
        <w:t xml:space="preserve"> </w:t>
      </w:r>
      <w:r>
        <w:rPr>
          <w:lang w:val="en-GB"/>
        </w:rPr>
        <w:t xml:space="preserve">(GDO and GDS): the main companies of the mass retail channels now allow the purchasing of their products online. Depending on the business model, the </w:t>
      </w:r>
      <w:r w:rsidR="00481F36">
        <w:rPr>
          <w:lang w:val="en-GB"/>
        </w:rPr>
        <w:t>mass retail chain may organise home delivery, click and collect, and drive through.</w:t>
      </w:r>
    </w:p>
    <w:p w14:paraId="0CD1B301" w14:textId="6F703056" w:rsidR="00481F36" w:rsidRDefault="00481F36" w:rsidP="003F456B">
      <w:pPr>
        <w:pStyle w:val="Paragrafoelenco"/>
        <w:numPr>
          <w:ilvl w:val="0"/>
          <w:numId w:val="9"/>
        </w:numPr>
        <w:jc w:val="both"/>
        <w:rPr>
          <w:lang w:val="en-GB"/>
        </w:rPr>
      </w:pPr>
      <w:r w:rsidRPr="00C96891">
        <w:rPr>
          <w:b/>
          <w:lang w:val="en-GB"/>
        </w:rPr>
        <w:t>Traditional shops</w:t>
      </w:r>
      <w:r>
        <w:rPr>
          <w:lang w:val="en-GB"/>
        </w:rPr>
        <w:t xml:space="preserve">: despite the difficulties encountered by small firms and autonomous workers in the digitalisation process, permit the online purchasing of their products on their websites. </w:t>
      </w:r>
    </w:p>
    <w:p w14:paraId="65F55CF0" w14:textId="486CD70A" w:rsidR="00481F36" w:rsidRDefault="00481F36" w:rsidP="003F456B">
      <w:pPr>
        <w:pStyle w:val="Paragrafoelenco"/>
        <w:numPr>
          <w:ilvl w:val="0"/>
          <w:numId w:val="9"/>
        </w:numPr>
        <w:jc w:val="both"/>
        <w:rPr>
          <w:lang w:val="en-GB"/>
        </w:rPr>
      </w:pPr>
      <w:r w:rsidRPr="00C96891">
        <w:rPr>
          <w:b/>
          <w:lang w:val="en-GB"/>
        </w:rPr>
        <w:t>Online-only</w:t>
      </w:r>
      <w:r>
        <w:rPr>
          <w:lang w:val="en-GB"/>
        </w:rPr>
        <w:t xml:space="preserve">: thanks to the new opportunities opened by internet, some companies started offering food products solely through digital platforms. The online only sector is very heterogeneous, and comprises huge IT companies such as Amazon, small food suppliers selling ethnic or niche products, or traders specialised in local/traditional food products.  </w:t>
      </w:r>
    </w:p>
    <w:p w14:paraId="128280C3" w14:textId="09C7FC21" w:rsidR="00AA5CFE" w:rsidRPr="003F456B" w:rsidRDefault="00AA5CFE" w:rsidP="003F456B">
      <w:pPr>
        <w:pStyle w:val="Paragrafoelenco"/>
        <w:numPr>
          <w:ilvl w:val="0"/>
          <w:numId w:val="9"/>
        </w:numPr>
        <w:jc w:val="both"/>
        <w:rPr>
          <w:lang w:val="en-GB"/>
        </w:rPr>
      </w:pPr>
      <w:r w:rsidRPr="00C96891">
        <w:rPr>
          <w:b/>
          <w:lang w:val="en-GB"/>
        </w:rPr>
        <w:t>AFN</w:t>
      </w:r>
      <w:r>
        <w:rPr>
          <w:lang w:val="en-GB"/>
        </w:rPr>
        <w:t xml:space="preserve">: the new ICT tools have transformed also the scenario of AFN networks, as they shortened the distance </w:t>
      </w:r>
      <w:r w:rsidR="00777A97">
        <w:rPr>
          <w:lang w:val="en-GB"/>
        </w:rPr>
        <w:t xml:space="preserve">and eased the interaction </w:t>
      </w:r>
      <w:r>
        <w:rPr>
          <w:lang w:val="en-GB"/>
        </w:rPr>
        <w:t>between producers and consu</w:t>
      </w:r>
      <w:r w:rsidR="00777A97">
        <w:rPr>
          <w:lang w:val="en-GB"/>
        </w:rPr>
        <w:t>mers</w:t>
      </w:r>
      <w:r>
        <w:rPr>
          <w:lang w:val="en-GB"/>
        </w:rPr>
        <w:t>. Producers have thus been able to increase their autonomy from mass retail channels</w:t>
      </w:r>
      <w:r w:rsidR="00777A97">
        <w:rPr>
          <w:lang w:val="en-GB"/>
        </w:rPr>
        <w:t xml:space="preserve"> and new BTC and BTE (business to ethics) groups exploited digital technologies to increase the impact of their sustainability agenda. </w:t>
      </w:r>
    </w:p>
    <w:p w14:paraId="36AB15BC" w14:textId="59D7F280" w:rsidR="004F507C" w:rsidRPr="005221EF" w:rsidRDefault="00777A97" w:rsidP="008E2A80">
      <w:pPr>
        <w:pStyle w:val="NormaleWeb"/>
        <w:spacing w:before="60" w:beforeAutospacing="0" w:after="60" w:afterAutospacing="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To ease the comprehension of this taxonomy, we present for each subcategory a </w:t>
      </w:r>
      <w:r w:rsidR="00674AE7">
        <w:rPr>
          <w:rFonts w:asciiTheme="minorHAnsi" w:hAnsiTheme="minorHAnsi" w:cstheme="minorHAnsi"/>
          <w:sz w:val="22"/>
          <w:szCs w:val="22"/>
          <w:lang w:val="en-GB"/>
        </w:rPr>
        <w:t>digital platform that can serve as a case study</w:t>
      </w:r>
      <w:r>
        <w:rPr>
          <w:rFonts w:asciiTheme="minorHAnsi" w:hAnsiTheme="minorHAnsi" w:cstheme="minorHAnsi"/>
          <w:sz w:val="22"/>
          <w:szCs w:val="22"/>
          <w:lang w:val="en-GB"/>
        </w:rPr>
        <w:t xml:space="preserve">. </w:t>
      </w:r>
    </w:p>
    <w:p w14:paraId="7CE95745" w14:textId="77777777" w:rsidR="00367DAB" w:rsidRPr="00367DAB" w:rsidRDefault="00674AE7" w:rsidP="00367DAB">
      <w:pPr>
        <w:pStyle w:val="Paragrafoelenco"/>
        <w:numPr>
          <w:ilvl w:val="0"/>
          <w:numId w:val="10"/>
        </w:numPr>
        <w:spacing w:before="60" w:after="60"/>
        <w:jc w:val="both"/>
        <w:rPr>
          <w:rFonts w:cstheme="minorHAnsi"/>
          <w:b/>
          <w:lang w:val="en-GB"/>
        </w:rPr>
      </w:pPr>
      <w:r w:rsidRPr="00853BE0">
        <w:rPr>
          <w:rFonts w:cstheme="minorHAnsi"/>
          <w:b/>
          <w:lang w:val="en-GB"/>
        </w:rPr>
        <w:t xml:space="preserve">GDS: </w:t>
      </w:r>
      <w:hyperlink r:id="rId15" w:history="1">
        <w:r w:rsidR="00853BE0" w:rsidRPr="00853BE0">
          <w:rPr>
            <w:rStyle w:val="Collegamentoipertestuale"/>
            <w:rFonts w:eastAsia="Times New Roman" w:cstheme="minorHAnsi"/>
            <w:lang w:val="en-GB" w:eastAsia="it-IT"/>
          </w:rPr>
          <w:t>Natura Sì</w:t>
        </w:r>
      </w:hyperlink>
      <w:r w:rsidR="00853BE0" w:rsidRPr="00853BE0">
        <w:rPr>
          <w:rStyle w:val="Collegamentoipertestuale"/>
          <w:rFonts w:eastAsia="Times New Roman" w:cstheme="minorHAnsi"/>
          <w:lang w:val="en-GB" w:eastAsia="it-IT"/>
        </w:rPr>
        <w:t xml:space="preserve"> </w:t>
      </w:r>
      <w:r w:rsidRPr="00853BE0">
        <w:rPr>
          <w:rFonts w:cstheme="minorHAnsi"/>
          <w:lang w:val="en-GB"/>
        </w:rPr>
        <w:t xml:space="preserve">is an organic food distributor available in </w:t>
      </w:r>
      <w:r w:rsidR="00057A9A" w:rsidRPr="00853BE0">
        <w:rPr>
          <w:rFonts w:cstheme="minorHAnsi"/>
          <w:lang w:val="en-GB"/>
        </w:rPr>
        <w:t xml:space="preserve">all Italian regions that mainly operate through supermarkets. Since a few years, it is possible organises the home delivery of all the organic food products through the online section of the website.  </w:t>
      </w:r>
    </w:p>
    <w:p w14:paraId="3C6F86A7" w14:textId="00C1EBCA" w:rsidR="00A82D5C" w:rsidRPr="00853BE0" w:rsidRDefault="000A5F13" w:rsidP="00367DAB">
      <w:pPr>
        <w:pStyle w:val="Paragrafoelenco"/>
        <w:spacing w:before="60" w:after="60"/>
        <w:jc w:val="both"/>
        <w:rPr>
          <w:rFonts w:cstheme="minorHAnsi"/>
          <w:b/>
          <w:lang w:val="en-GB"/>
        </w:rPr>
      </w:pPr>
      <w:r>
        <w:rPr>
          <w:rFonts w:cstheme="minorHAnsi"/>
          <w:lang w:val="en-GB"/>
        </w:rPr>
        <w:t xml:space="preserve">Link: </w:t>
      </w:r>
      <w:r w:rsidR="00367DAB" w:rsidRPr="00367DAB">
        <w:rPr>
          <w:rFonts w:cstheme="minorHAnsi"/>
          <w:lang w:val="en-GB"/>
        </w:rPr>
        <w:t>https://www.naturasi.it/</w:t>
      </w:r>
    </w:p>
    <w:p w14:paraId="10704E8A" w14:textId="7034ADC7" w:rsidR="00C96891" w:rsidRDefault="00057A9A" w:rsidP="00A54E5E">
      <w:pPr>
        <w:pStyle w:val="Paragrafoelenco"/>
        <w:numPr>
          <w:ilvl w:val="0"/>
          <w:numId w:val="10"/>
        </w:numPr>
        <w:spacing w:before="60" w:after="60"/>
        <w:jc w:val="both"/>
        <w:rPr>
          <w:rFonts w:cstheme="minorHAnsi"/>
          <w:lang w:val="en-GB"/>
        </w:rPr>
      </w:pPr>
      <w:r w:rsidRPr="00853BE0">
        <w:rPr>
          <w:rFonts w:cstheme="minorHAnsi"/>
          <w:b/>
          <w:lang w:val="en-GB"/>
        </w:rPr>
        <w:t xml:space="preserve">GDO: </w:t>
      </w:r>
      <w:hyperlink r:id="rId16" w:history="1">
        <w:r w:rsidR="00853BE0" w:rsidRPr="00853BE0">
          <w:rPr>
            <w:rStyle w:val="Collegamentoipertestuale"/>
            <w:rFonts w:eastAsia="Times New Roman" w:cstheme="minorHAnsi"/>
            <w:lang w:val="en-GB" w:eastAsia="it-IT"/>
          </w:rPr>
          <w:t>Esselunga</w:t>
        </w:r>
      </w:hyperlink>
      <w:r w:rsidR="00853BE0" w:rsidRPr="00853BE0">
        <w:rPr>
          <w:rStyle w:val="Collegamentoipertestuale"/>
          <w:rFonts w:eastAsia="Times New Roman" w:cstheme="minorHAnsi"/>
          <w:lang w:val="en-GB" w:eastAsia="it-IT"/>
        </w:rPr>
        <w:t xml:space="preserve"> </w:t>
      </w:r>
      <w:r w:rsidRPr="00853BE0">
        <w:rPr>
          <w:rFonts w:cstheme="minorHAnsi"/>
          <w:lang w:val="en-GB"/>
        </w:rPr>
        <w:t xml:space="preserve">is one of the most important mass retail store of northern Italy. Through the website it is possible to purchase all the products available in the stores. Home delivery and </w:t>
      </w:r>
      <w:r w:rsidR="0069738E" w:rsidRPr="00853BE0">
        <w:rPr>
          <w:rFonts w:cstheme="minorHAnsi"/>
          <w:lang w:val="en-GB"/>
        </w:rPr>
        <w:t>c</w:t>
      </w:r>
      <w:r w:rsidRPr="00853BE0">
        <w:rPr>
          <w:rFonts w:cstheme="minorHAnsi"/>
          <w:lang w:val="en-GB"/>
        </w:rPr>
        <w:t xml:space="preserve">lick and </w:t>
      </w:r>
      <w:r w:rsidR="0069738E" w:rsidRPr="00853BE0">
        <w:rPr>
          <w:rFonts w:cstheme="minorHAnsi"/>
          <w:lang w:val="en-GB"/>
        </w:rPr>
        <w:t>c</w:t>
      </w:r>
      <w:r w:rsidRPr="00853BE0">
        <w:rPr>
          <w:rFonts w:cstheme="minorHAnsi"/>
          <w:lang w:val="en-GB"/>
        </w:rPr>
        <w:t>ollect</w:t>
      </w:r>
      <w:r w:rsidR="0069738E" w:rsidRPr="00853BE0">
        <w:rPr>
          <w:rFonts w:cstheme="minorHAnsi"/>
          <w:lang w:val="en-GB"/>
        </w:rPr>
        <w:t xml:space="preserve"> services</w:t>
      </w:r>
      <w:r w:rsidRPr="00853BE0">
        <w:rPr>
          <w:rFonts w:cstheme="minorHAnsi"/>
          <w:lang w:val="en-GB"/>
        </w:rPr>
        <w:t xml:space="preserve"> are both available to customers.  </w:t>
      </w:r>
      <w:r w:rsidR="00367DAB">
        <w:rPr>
          <w:rFonts w:cstheme="minorHAnsi"/>
          <w:lang w:val="en-GB"/>
        </w:rPr>
        <w:t xml:space="preserve"> </w:t>
      </w:r>
    </w:p>
    <w:p w14:paraId="2FFB9CF6" w14:textId="61B83FF8" w:rsidR="00367DAB" w:rsidRPr="00853BE0" w:rsidRDefault="000A5F13" w:rsidP="00367DAB">
      <w:pPr>
        <w:pStyle w:val="Paragrafoelenco"/>
        <w:spacing w:before="60" w:after="60"/>
        <w:jc w:val="both"/>
        <w:rPr>
          <w:rFonts w:cstheme="minorHAnsi"/>
          <w:lang w:val="en-GB"/>
        </w:rPr>
      </w:pPr>
      <w:r>
        <w:rPr>
          <w:rFonts w:cstheme="minorHAnsi"/>
          <w:lang w:val="en-GB"/>
        </w:rPr>
        <w:t xml:space="preserve">Link: </w:t>
      </w:r>
      <w:r w:rsidR="00367DAB" w:rsidRPr="00367DAB">
        <w:rPr>
          <w:rFonts w:cstheme="minorHAnsi"/>
          <w:lang w:val="en-GB"/>
        </w:rPr>
        <w:t>https://www.esselungaacasa.it/ecommerce/nav/welcome/index.html</w:t>
      </w:r>
    </w:p>
    <w:p w14:paraId="16E1EFAC" w14:textId="30382704" w:rsidR="00C96891" w:rsidRDefault="00057A9A" w:rsidP="00A54E5E">
      <w:pPr>
        <w:pStyle w:val="Paragrafoelenco"/>
        <w:numPr>
          <w:ilvl w:val="0"/>
          <w:numId w:val="10"/>
        </w:numPr>
        <w:spacing w:before="60" w:after="60"/>
        <w:jc w:val="both"/>
        <w:rPr>
          <w:rFonts w:cstheme="minorHAnsi"/>
          <w:lang w:val="en-GB"/>
        </w:rPr>
      </w:pPr>
      <w:r w:rsidRPr="00853BE0">
        <w:rPr>
          <w:rFonts w:cstheme="minorHAnsi"/>
          <w:b/>
          <w:lang w:val="en-GB"/>
        </w:rPr>
        <w:t xml:space="preserve">CDS: </w:t>
      </w:r>
      <w:hyperlink r:id="rId17" w:history="1">
        <w:r w:rsidR="00853BE0" w:rsidRPr="00853BE0">
          <w:rPr>
            <w:rStyle w:val="Collegamentoipertestuale"/>
            <w:rFonts w:eastAsia="Times New Roman" w:cstheme="minorHAnsi"/>
            <w:lang w:val="en-GB" w:eastAsia="it-IT"/>
          </w:rPr>
          <w:t>Lunelli</w:t>
        </w:r>
      </w:hyperlink>
      <w:r w:rsidR="00853BE0" w:rsidRPr="00853BE0">
        <w:rPr>
          <w:rStyle w:val="Collegamentoipertestuale"/>
          <w:rFonts w:eastAsia="Times New Roman" w:cstheme="minorHAnsi"/>
          <w:lang w:val="en-GB" w:eastAsia="it-IT"/>
        </w:rPr>
        <w:t xml:space="preserve"> </w:t>
      </w:r>
      <w:r w:rsidRPr="00853BE0">
        <w:rPr>
          <w:rFonts w:cstheme="minorHAnsi"/>
          <w:lang w:val="en-GB"/>
        </w:rPr>
        <w:t>is a small, family-owned, traditional shop in the city of Trento that sells regional food products and drinks.</w:t>
      </w:r>
      <w:r w:rsidR="00CD3489" w:rsidRPr="00853BE0">
        <w:rPr>
          <w:rFonts w:cstheme="minorHAnsi"/>
          <w:lang w:val="en-GB"/>
        </w:rPr>
        <w:t xml:space="preserve"> The online shops permits the purchasing of all the dry foods and preserves, but not fresh products.  </w:t>
      </w:r>
      <w:r w:rsidRPr="00853BE0">
        <w:rPr>
          <w:rFonts w:cstheme="minorHAnsi"/>
          <w:lang w:val="en-GB"/>
        </w:rPr>
        <w:t xml:space="preserve"> </w:t>
      </w:r>
    </w:p>
    <w:p w14:paraId="753D98E5" w14:textId="346A37D5" w:rsidR="00367DAB" w:rsidRPr="00853BE0" w:rsidRDefault="000A5F13" w:rsidP="00367DAB">
      <w:pPr>
        <w:pStyle w:val="Paragrafoelenco"/>
        <w:spacing w:before="60" w:after="60"/>
        <w:jc w:val="both"/>
        <w:rPr>
          <w:rFonts w:cstheme="minorHAnsi"/>
          <w:lang w:val="en-GB"/>
        </w:rPr>
      </w:pPr>
      <w:r>
        <w:rPr>
          <w:rFonts w:cstheme="minorHAnsi"/>
          <w:lang w:val="en-GB"/>
        </w:rPr>
        <w:t xml:space="preserve">Link: </w:t>
      </w:r>
      <w:r w:rsidR="00367DAB" w:rsidRPr="00367DAB">
        <w:rPr>
          <w:rFonts w:cstheme="minorHAnsi"/>
          <w:lang w:val="en-GB"/>
        </w:rPr>
        <w:t>http://www.lunelli.it/</w:t>
      </w:r>
    </w:p>
    <w:p w14:paraId="404D8898" w14:textId="3D24AFC8" w:rsidR="00C96891" w:rsidRPr="00367DAB" w:rsidRDefault="00401D24" w:rsidP="00A54E5E">
      <w:pPr>
        <w:pStyle w:val="Paragrafoelenco"/>
        <w:numPr>
          <w:ilvl w:val="0"/>
          <w:numId w:val="10"/>
        </w:numPr>
        <w:spacing w:before="60" w:after="60"/>
        <w:jc w:val="both"/>
        <w:rPr>
          <w:rFonts w:cstheme="minorHAnsi"/>
          <w:b/>
          <w:lang w:val="en-GB"/>
        </w:rPr>
      </w:pPr>
      <w:r w:rsidRPr="00853BE0">
        <w:rPr>
          <w:rFonts w:cstheme="minorHAnsi"/>
          <w:b/>
          <w:lang w:val="en-GB"/>
        </w:rPr>
        <w:t xml:space="preserve">Online-only mono-product: </w:t>
      </w:r>
      <w:hyperlink r:id="rId18" w:history="1">
        <w:r w:rsidR="00853BE0" w:rsidRPr="00853BE0">
          <w:rPr>
            <w:rStyle w:val="Collegamentoipertestuale"/>
            <w:rFonts w:eastAsia="Times New Roman" w:cstheme="minorHAnsi"/>
            <w:lang w:val="en-GB" w:eastAsia="it-IT"/>
          </w:rPr>
          <w:t>CiboUSA</w:t>
        </w:r>
      </w:hyperlink>
      <w:r w:rsidR="00853BE0" w:rsidRPr="00853BE0">
        <w:rPr>
          <w:rStyle w:val="Collegamentoipertestuale"/>
          <w:rFonts w:eastAsia="Times New Roman" w:cstheme="minorHAnsi"/>
          <w:lang w:val="en-GB" w:eastAsia="it-IT"/>
        </w:rPr>
        <w:t xml:space="preserve"> </w:t>
      </w:r>
      <w:r w:rsidRPr="00853BE0">
        <w:rPr>
          <w:rFonts w:cstheme="minorHAnsi"/>
          <w:lang w:val="en-GB"/>
        </w:rPr>
        <w:t xml:space="preserve">is an online store specialised in the </w:t>
      </w:r>
      <w:r w:rsidR="00A54E5E" w:rsidRPr="00853BE0">
        <w:rPr>
          <w:rFonts w:cstheme="minorHAnsi"/>
          <w:lang w:val="en-GB"/>
        </w:rPr>
        <w:t>sale</w:t>
      </w:r>
      <w:r w:rsidRPr="00853BE0">
        <w:rPr>
          <w:rFonts w:cstheme="minorHAnsi"/>
          <w:lang w:val="en-GB"/>
        </w:rPr>
        <w:t xml:space="preserve"> of American </w:t>
      </w:r>
      <w:r w:rsidR="00A54E5E" w:rsidRPr="00853BE0">
        <w:rPr>
          <w:rFonts w:cstheme="minorHAnsi"/>
          <w:lang w:val="en-GB"/>
        </w:rPr>
        <w:t xml:space="preserve">food products. The company ships only dry food products (chips, drinks, cereals, chocolate etc.) all over Italy. </w:t>
      </w:r>
      <w:r w:rsidR="00F91F0D" w:rsidRPr="00853BE0">
        <w:rPr>
          <w:rFonts w:cstheme="minorHAnsi"/>
          <w:i/>
          <w:lang w:val="en-GB"/>
        </w:rPr>
        <w:t>Notice</w:t>
      </w:r>
      <w:r w:rsidR="00F91F0D" w:rsidRPr="00853BE0">
        <w:rPr>
          <w:rFonts w:cstheme="minorHAnsi"/>
          <w:lang w:val="en-GB"/>
        </w:rPr>
        <w:t xml:space="preserve">: the increasing number of ethnic food shopping websites could actually constitute a sub-category per se, different from the online-only shops specialised in the re-selling of typical Italian products. </w:t>
      </w:r>
    </w:p>
    <w:p w14:paraId="4378528A" w14:textId="3CEDB5C9" w:rsidR="00367DAB" w:rsidRPr="00367DAB" w:rsidRDefault="000A5F13" w:rsidP="00367DAB">
      <w:pPr>
        <w:pStyle w:val="Paragrafoelenco"/>
        <w:spacing w:before="60" w:after="60"/>
        <w:jc w:val="both"/>
        <w:rPr>
          <w:rFonts w:cstheme="minorHAnsi"/>
          <w:lang w:val="en-GB"/>
        </w:rPr>
      </w:pPr>
      <w:r>
        <w:rPr>
          <w:rFonts w:cstheme="minorHAnsi"/>
          <w:lang w:val="en-GB"/>
        </w:rPr>
        <w:lastRenderedPageBreak/>
        <w:t xml:space="preserve">Link: </w:t>
      </w:r>
      <w:r w:rsidR="00367DAB" w:rsidRPr="00367DAB">
        <w:rPr>
          <w:rFonts w:cstheme="minorHAnsi"/>
          <w:lang w:val="en-GB"/>
        </w:rPr>
        <w:t>https://www.cibousa.com</w:t>
      </w:r>
    </w:p>
    <w:p w14:paraId="48A0EE3B" w14:textId="6B68A13B" w:rsidR="00C96891" w:rsidRPr="00367DAB" w:rsidRDefault="00A54E5E" w:rsidP="00A54E5E">
      <w:pPr>
        <w:pStyle w:val="Paragrafoelenco"/>
        <w:numPr>
          <w:ilvl w:val="0"/>
          <w:numId w:val="10"/>
        </w:numPr>
        <w:spacing w:before="60" w:after="60"/>
        <w:jc w:val="both"/>
        <w:rPr>
          <w:rFonts w:cstheme="minorHAnsi"/>
          <w:b/>
          <w:lang w:val="en-GB"/>
        </w:rPr>
      </w:pPr>
      <w:r w:rsidRPr="00853BE0">
        <w:rPr>
          <w:rFonts w:cstheme="minorHAnsi"/>
          <w:b/>
          <w:lang w:val="en-GB"/>
        </w:rPr>
        <w:t xml:space="preserve">Online-only multi-product: </w:t>
      </w:r>
      <w:hyperlink r:id="rId19" w:history="1">
        <w:r w:rsidR="00853BE0" w:rsidRPr="00853BE0">
          <w:rPr>
            <w:rStyle w:val="Collegamentoipertestuale"/>
            <w:rFonts w:eastAsia="Times New Roman" w:cstheme="minorHAnsi"/>
            <w:lang w:val="en-GB" w:eastAsia="it-IT"/>
          </w:rPr>
          <w:t>Amazon pantry</w:t>
        </w:r>
      </w:hyperlink>
      <w:r w:rsidR="00853BE0" w:rsidRPr="00853BE0">
        <w:rPr>
          <w:rStyle w:val="Collegamentoipertestuale"/>
          <w:rFonts w:eastAsia="Times New Roman" w:cstheme="minorHAnsi"/>
          <w:lang w:val="en-GB" w:eastAsia="it-IT"/>
        </w:rPr>
        <w:t xml:space="preserve"> </w:t>
      </w:r>
      <w:r w:rsidRPr="00853BE0">
        <w:rPr>
          <w:rFonts w:cstheme="minorHAnsi"/>
          <w:lang w:val="en-GB"/>
        </w:rPr>
        <w:t xml:space="preserve">is the online food store accessible to Amazon Prime users. The online company does not currently sell fresh food product. </w:t>
      </w:r>
    </w:p>
    <w:p w14:paraId="27FE32D8" w14:textId="006E8347" w:rsidR="00367DAB" w:rsidRPr="00367DAB" w:rsidRDefault="000A5F13" w:rsidP="00367DAB">
      <w:pPr>
        <w:pStyle w:val="Paragrafoelenco"/>
        <w:spacing w:before="60" w:after="60"/>
        <w:jc w:val="both"/>
        <w:rPr>
          <w:rFonts w:cstheme="minorHAnsi"/>
          <w:lang w:val="en-GB"/>
        </w:rPr>
      </w:pPr>
      <w:r>
        <w:rPr>
          <w:rFonts w:cstheme="minorHAnsi"/>
          <w:lang w:val="en-GB"/>
        </w:rPr>
        <w:t xml:space="preserve">Link: </w:t>
      </w:r>
      <w:r w:rsidR="00367DAB" w:rsidRPr="00367DAB">
        <w:rPr>
          <w:rFonts w:cstheme="minorHAnsi"/>
          <w:lang w:val="en-GB"/>
        </w:rPr>
        <w:t>https://www.amazon.it/Amazon-Pantry/b?node=10547410031</w:t>
      </w:r>
    </w:p>
    <w:p w14:paraId="283A8D6F" w14:textId="67D02B4D" w:rsidR="0063598B" w:rsidRPr="00367DAB" w:rsidRDefault="0063598B" w:rsidP="0063598B">
      <w:pPr>
        <w:pStyle w:val="Paragrafoelenco"/>
        <w:numPr>
          <w:ilvl w:val="0"/>
          <w:numId w:val="10"/>
        </w:numPr>
        <w:spacing w:before="60" w:after="60"/>
        <w:jc w:val="both"/>
        <w:rPr>
          <w:rFonts w:cstheme="minorHAnsi"/>
          <w:b/>
          <w:lang w:val="en-GB"/>
        </w:rPr>
      </w:pPr>
      <w:r w:rsidRPr="00853BE0">
        <w:rPr>
          <w:rFonts w:cstheme="minorHAnsi"/>
          <w:b/>
          <w:lang w:val="en-GB"/>
        </w:rPr>
        <w:t xml:space="preserve">AFN direct sales: </w:t>
      </w:r>
      <w:hyperlink r:id="rId20" w:history="1">
        <w:r w:rsidR="00853BE0" w:rsidRPr="00853BE0">
          <w:rPr>
            <w:rStyle w:val="Collegamentoipertestuale"/>
            <w:rFonts w:eastAsia="Times New Roman" w:cstheme="minorHAnsi"/>
            <w:lang w:val="en-GB" w:eastAsia="it-IT"/>
          </w:rPr>
          <w:t>Biocesta del gusto</w:t>
        </w:r>
      </w:hyperlink>
      <w:r w:rsidRPr="00853BE0">
        <w:rPr>
          <w:rFonts w:cstheme="minorHAnsi"/>
          <w:b/>
          <w:lang w:val="en-GB"/>
        </w:rPr>
        <w:t xml:space="preserve"> </w:t>
      </w:r>
      <w:r w:rsidRPr="00853BE0">
        <w:rPr>
          <w:rFonts w:cstheme="minorHAnsi"/>
          <w:lang w:val="en-GB"/>
        </w:rPr>
        <w:t xml:space="preserve">is the direct sale service organised by the organic family-owned farm based in Trentino “Maso del Gusto”. The farm has 4 fruit and vegetables shops in the city of Trento. Since a few years, customers can order through the website a fruit and vegetable box, and collect it in one of the 4 shops. </w:t>
      </w:r>
    </w:p>
    <w:p w14:paraId="381A23EE" w14:textId="468C8A76" w:rsidR="00367DAB" w:rsidRPr="00367DAB" w:rsidRDefault="000A5F13" w:rsidP="00367DAB">
      <w:pPr>
        <w:pStyle w:val="Paragrafoelenco"/>
        <w:spacing w:before="60" w:after="60"/>
        <w:jc w:val="both"/>
        <w:rPr>
          <w:rFonts w:cstheme="minorHAnsi"/>
          <w:lang w:val="en-GB"/>
        </w:rPr>
      </w:pPr>
      <w:r>
        <w:rPr>
          <w:rFonts w:cstheme="minorHAnsi"/>
          <w:lang w:val="en-GB"/>
        </w:rPr>
        <w:t xml:space="preserve">Link </w:t>
      </w:r>
      <w:r w:rsidR="00367DAB" w:rsidRPr="00367DAB">
        <w:rPr>
          <w:rFonts w:cstheme="minorHAnsi"/>
          <w:lang w:val="en-GB"/>
        </w:rPr>
        <w:t>http://www.biocestadelgusto.it/</w:t>
      </w:r>
    </w:p>
    <w:p w14:paraId="6950A3A1" w14:textId="51CE8E88" w:rsidR="0063598B" w:rsidRPr="00367DAB" w:rsidRDefault="0063598B" w:rsidP="0063598B">
      <w:pPr>
        <w:pStyle w:val="Paragrafoelenco"/>
        <w:numPr>
          <w:ilvl w:val="0"/>
          <w:numId w:val="10"/>
        </w:numPr>
        <w:spacing w:before="60" w:after="60"/>
        <w:jc w:val="both"/>
        <w:rPr>
          <w:rFonts w:cstheme="minorHAnsi"/>
          <w:b/>
          <w:u w:val="single"/>
          <w:lang w:val="en-GB"/>
        </w:rPr>
      </w:pPr>
      <w:r w:rsidRPr="00853BE0">
        <w:rPr>
          <w:rFonts w:cstheme="minorHAnsi"/>
          <w:b/>
          <w:lang w:val="en-GB"/>
        </w:rPr>
        <w:t xml:space="preserve">AFN Gas: </w:t>
      </w:r>
      <w:hyperlink r:id="rId21" w:history="1">
        <w:r w:rsidR="00853BE0" w:rsidRPr="00853BE0">
          <w:rPr>
            <w:rStyle w:val="Collegamentoipertestuale"/>
            <w:rFonts w:eastAsia="Times New Roman" w:cstheme="minorHAnsi"/>
            <w:lang w:val="en-GB" w:eastAsia="it-IT"/>
          </w:rPr>
          <w:t>Alveare che dice sì</w:t>
        </w:r>
      </w:hyperlink>
      <w:r w:rsidRPr="00853BE0">
        <w:rPr>
          <w:rFonts w:cstheme="minorHAnsi"/>
          <w:lang w:val="en-GB"/>
        </w:rPr>
        <w:t xml:space="preserve"> is a solidarity economy project based on Italy, France, Spain, UK, Germany, Netherland and Denmark. The website facilitates the build-up of small local trade points where a person collect</w:t>
      </w:r>
      <w:r w:rsidR="00452506">
        <w:rPr>
          <w:rFonts w:cstheme="minorHAnsi"/>
          <w:lang w:val="en-GB"/>
        </w:rPr>
        <w:t>s</w:t>
      </w:r>
      <w:r w:rsidRPr="00853BE0">
        <w:rPr>
          <w:rFonts w:cstheme="minorHAnsi"/>
          <w:lang w:val="en-GB"/>
        </w:rPr>
        <w:t xml:space="preserve"> food products from the nearby producers (less than 35km), and sell them to a group of customers. The producer keeps 80% of the revenue, 10% goes to the responsible and 10% to the company.  </w:t>
      </w:r>
    </w:p>
    <w:p w14:paraId="26069B87" w14:textId="41C79A91" w:rsidR="00367DAB" w:rsidRPr="00367DAB" w:rsidRDefault="000A5F13" w:rsidP="00367DAB">
      <w:pPr>
        <w:pStyle w:val="Paragrafoelenco"/>
        <w:spacing w:before="60" w:after="60"/>
        <w:jc w:val="both"/>
        <w:rPr>
          <w:rFonts w:cstheme="minorHAnsi"/>
          <w:lang w:val="en-GB"/>
        </w:rPr>
      </w:pPr>
      <w:r>
        <w:rPr>
          <w:rFonts w:cstheme="minorHAnsi"/>
          <w:lang w:val="en-GB"/>
        </w:rPr>
        <w:t xml:space="preserve">Link: </w:t>
      </w:r>
      <w:r w:rsidR="00367DAB" w:rsidRPr="00367DAB">
        <w:rPr>
          <w:rFonts w:cstheme="minorHAnsi"/>
          <w:lang w:val="en-GB"/>
        </w:rPr>
        <w:t>https://alvearechedicesi.it/it</w:t>
      </w:r>
    </w:p>
    <w:p w14:paraId="6F609153" w14:textId="77777777" w:rsidR="000A5F13" w:rsidRPr="000A5F13" w:rsidRDefault="0063598B" w:rsidP="000A5F13">
      <w:pPr>
        <w:pStyle w:val="Paragrafoelenco"/>
        <w:numPr>
          <w:ilvl w:val="0"/>
          <w:numId w:val="10"/>
        </w:numPr>
        <w:spacing w:before="60" w:after="60"/>
        <w:jc w:val="both"/>
        <w:rPr>
          <w:rFonts w:cstheme="minorHAnsi"/>
          <w:b/>
          <w:u w:val="single"/>
          <w:lang w:val="en-GB"/>
        </w:rPr>
      </w:pPr>
      <w:r w:rsidRPr="00853BE0">
        <w:rPr>
          <w:rFonts w:cstheme="minorHAnsi"/>
          <w:b/>
          <w:lang w:val="en-GB"/>
        </w:rPr>
        <w:t xml:space="preserve">AFN Networking: </w:t>
      </w:r>
      <w:hyperlink r:id="rId22" w:history="1">
        <w:r w:rsidR="00853BE0" w:rsidRPr="00853BE0">
          <w:rPr>
            <w:rStyle w:val="Collegamentoipertestuale"/>
            <w:rFonts w:eastAsia="Times New Roman" w:cstheme="minorHAnsi"/>
            <w:lang w:val="en-GB" w:eastAsia="it-IT"/>
          </w:rPr>
          <w:t>Cortilia</w:t>
        </w:r>
      </w:hyperlink>
      <w:r w:rsidR="00853BE0" w:rsidRPr="00853BE0">
        <w:rPr>
          <w:rStyle w:val="Collegamentoipertestuale"/>
          <w:rFonts w:eastAsia="Times New Roman" w:cstheme="minorHAnsi"/>
          <w:lang w:val="en-GB" w:eastAsia="it-IT"/>
        </w:rPr>
        <w:t xml:space="preserve"> </w:t>
      </w:r>
      <w:r w:rsidRPr="00853BE0">
        <w:rPr>
          <w:rFonts w:cstheme="minorHAnsi"/>
          <w:lang w:val="en-GB"/>
        </w:rPr>
        <w:t>is an online shop that home delivers fresh and artisanal food products from a selected group of producers. In order to be part of the networks, the farmers and the artisans involved must respect some sustainability criteria</w:t>
      </w:r>
      <w:r>
        <w:rPr>
          <w:rFonts w:cstheme="minorHAnsi"/>
          <w:lang w:val="en-GB"/>
        </w:rPr>
        <w:t>.</w:t>
      </w:r>
      <w:r w:rsidR="00367DAB" w:rsidRPr="008770F0">
        <w:rPr>
          <w:lang w:val="en-GB"/>
        </w:rPr>
        <w:t xml:space="preserve"> </w:t>
      </w:r>
    </w:p>
    <w:p w14:paraId="3F623C69" w14:textId="0D11651C" w:rsidR="00A82D5C" w:rsidRPr="000A5F13" w:rsidRDefault="000A5F13" w:rsidP="000A5F13">
      <w:pPr>
        <w:pStyle w:val="Paragrafoelenco"/>
        <w:spacing w:before="60" w:after="60"/>
        <w:rPr>
          <w:rFonts w:cstheme="minorHAnsi"/>
          <w:b/>
          <w:u w:val="single"/>
          <w:lang w:val="en-GB"/>
        </w:rPr>
        <w:sectPr w:rsidR="00A82D5C" w:rsidRPr="000A5F13">
          <w:footerReference w:type="default" r:id="rId23"/>
          <w:pgSz w:w="11906" w:h="16838"/>
          <w:pgMar w:top="1417" w:right="1134" w:bottom="1134" w:left="1134" w:header="708" w:footer="708" w:gutter="0"/>
          <w:cols w:space="708"/>
          <w:docGrid w:linePitch="360"/>
        </w:sectPr>
      </w:pPr>
      <w:r w:rsidRPr="000A5F13">
        <w:rPr>
          <w:rFonts w:cstheme="minorHAnsi"/>
          <w:lang w:val="en-GB"/>
        </w:rPr>
        <w:t xml:space="preserve">Link: </w:t>
      </w:r>
      <w:r w:rsidR="00367DAB" w:rsidRPr="000A5F13">
        <w:rPr>
          <w:rFonts w:cstheme="minorHAnsi"/>
          <w:lang w:val="en-GB"/>
        </w:rPr>
        <w:t>https://www.cortilia.it/</w:t>
      </w:r>
      <w:r w:rsidR="0063598B" w:rsidRPr="000A5F13">
        <w:rPr>
          <w:rFonts w:cstheme="minorHAnsi"/>
          <w:lang w:val="en-GB"/>
        </w:rPr>
        <w:t xml:space="preserve"> </w:t>
      </w:r>
    </w:p>
    <w:p w14:paraId="3229C2A3" w14:textId="2F305431" w:rsidR="00A82D5C" w:rsidRDefault="00A82D5C" w:rsidP="00CD3489">
      <w:pPr>
        <w:spacing w:before="60" w:after="60"/>
        <w:jc w:val="both"/>
        <w:rPr>
          <w:rFonts w:cstheme="minorHAnsi"/>
          <w:lang w:val="en-GB"/>
        </w:rPr>
      </w:pPr>
    </w:p>
    <w:p w14:paraId="6C1AB0C4" w14:textId="5A926BF5" w:rsidR="00AB1C5F" w:rsidRDefault="00AB1C5F" w:rsidP="00CD3489">
      <w:pPr>
        <w:spacing w:before="60" w:after="60"/>
        <w:jc w:val="both"/>
        <w:rPr>
          <w:rFonts w:cstheme="minorHAnsi"/>
          <w:lang w:val="en-GB"/>
        </w:rPr>
      </w:pPr>
    </w:p>
    <w:p w14:paraId="3E447191" w14:textId="40A1961F" w:rsidR="00AB1C5F" w:rsidRDefault="00AB1C5F" w:rsidP="00CD3489">
      <w:pPr>
        <w:spacing w:before="60" w:after="60"/>
        <w:jc w:val="both"/>
        <w:rPr>
          <w:rFonts w:cstheme="minorHAnsi"/>
          <w:lang w:val="en-GB"/>
        </w:rPr>
      </w:pPr>
    </w:p>
    <w:p w14:paraId="1208F2D7" w14:textId="76F98FAA" w:rsidR="00AB1C5F" w:rsidRDefault="00AB1C5F" w:rsidP="00CD3489">
      <w:pPr>
        <w:spacing w:before="60" w:after="60"/>
        <w:jc w:val="both"/>
        <w:rPr>
          <w:rFonts w:cstheme="minorHAnsi"/>
          <w:lang w:val="en-GB"/>
        </w:rPr>
      </w:pPr>
    </w:p>
    <w:p w14:paraId="5F096278" w14:textId="3EB1845E" w:rsidR="00AB1C5F" w:rsidRDefault="00AB1C5F" w:rsidP="00CD3489">
      <w:pPr>
        <w:spacing w:before="60" w:after="60"/>
        <w:jc w:val="both"/>
        <w:rPr>
          <w:rFonts w:cstheme="minorHAnsi"/>
          <w:lang w:val="en-GB"/>
        </w:rPr>
      </w:pPr>
    </w:p>
    <w:p w14:paraId="3B2FE5B6" w14:textId="1FC4766B" w:rsidR="00AB1C5F" w:rsidRDefault="00AB1C5F" w:rsidP="00CD3489">
      <w:pPr>
        <w:spacing w:before="60" w:after="60"/>
        <w:jc w:val="both"/>
        <w:rPr>
          <w:rFonts w:cstheme="minorHAnsi"/>
          <w:lang w:val="en-GB"/>
        </w:rPr>
      </w:pPr>
    </w:p>
    <w:p w14:paraId="4EFFAF67" w14:textId="77777777" w:rsidR="00AB1C5F" w:rsidRPr="00A2310E" w:rsidRDefault="00AB1C5F" w:rsidP="00CD3489">
      <w:pPr>
        <w:spacing w:before="60" w:after="60"/>
        <w:jc w:val="both"/>
        <w:rPr>
          <w:rFonts w:cstheme="minorHAnsi"/>
          <w:lang w:val="en-GB"/>
        </w:rPr>
      </w:pPr>
    </w:p>
    <w:p w14:paraId="7FBD609B" w14:textId="10EE7B36" w:rsidR="00A82D5C" w:rsidRPr="00A2310E" w:rsidRDefault="00A82D5C" w:rsidP="008E2A80">
      <w:pPr>
        <w:pStyle w:val="Paragrafoelenco"/>
        <w:spacing w:before="60" w:after="60"/>
        <w:jc w:val="both"/>
        <w:rPr>
          <w:rFonts w:cstheme="minorHAnsi"/>
          <w:lang w:val="en-GB"/>
        </w:rPr>
      </w:pPr>
    </w:p>
    <w:tbl>
      <w:tblPr>
        <w:tblW w:w="5000" w:type="pct"/>
        <w:jc w:val="center"/>
        <w:tblCellMar>
          <w:left w:w="70" w:type="dxa"/>
          <w:right w:w="70" w:type="dxa"/>
        </w:tblCellMar>
        <w:tblLook w:val="04A0" w:firstRow="1" w:lastRow="0" w:firstColumn="1" w:lastColumn="0" w:noHBand="0" w:noVBand="1"/>
      </w:tblPr>
      <w:tblGrid>
        <w:gridCol w:w="3166"/>
        <w:gridCol w:w="2156"/>
        <w:gridCol w:w="1891"/>
        <w:gridCol w:w="168"/>
        <w:gridCol w:w="2505"/>
        <w:gridCol w:w="1910"/>
        <w:gridCol w:w="2631"/>
      </w:tblGrid>
      <w:tr w:rsidR="006126AC" w:rsidRPr="00C96891" w14:paraId="233E0348" w14:textId="77777777" w:rsidTr="00FD1374">
        <w:trPr>
          <w:trHeight w:val="300"/>
          <w:jc w:val="center"/>
        </w:trPr>
        <w:tc>
          <w:tcPr>
            <w:tcW w:w="1097" w:type="pct"/>
            <w:tcBorders>
              <w:top w:val="nil"/>
              <w:left w:val="nil"/>
              <w:bottom w:val="single" w:sz="4" w:space="0" w:color="auto"/>
              <w:right w:val="nil"/>
            </w:tcBorders>
            <w:shd w:val="clear" w:color="auto" w:fill="auto"/>
            <w:noWrap/>
            <w:vAlign w:val="bottom"/>
            <w:hideMark/>
          </w:tcPr>
          <w:p w14:paraId="1D6A5D01" w14:textId="1A1114F5" w:rsidR="000F6E52" w:rsidRPr="00A82D5C" w:rsidRDefault="000F6E52" w:rsidP="00DD25E1">
            <w:pPr>
              <w:spacing w:after="0" w:line="240" w:lineRule="auto"/>
              <w:rPr>
                <w:rFonts w:eastAsia="Times New Roman" w:cstheme="minorHAnsi"/>
                <w:b/>
                <w:i/>
                <w:sz w:val="20"/>
                <w:lang w:val="en-GB" w:eastAsia="it-IT"/>
              </w:rPr>
            </w:pPr>
            <w:r w:rsidRPr="00C96891">
              <w:rPr>
                <w:rFonts w:eastAsia="Times New Roman" w:cstheme="minorHAnsi"/>
                <w:b/>
                <w:i/>
                <w:sz w:val="20"/>
                <w:lang w:val="en-GB" w:eastAsia="it-IT"/>
              </w:rPr>
              <w:t xml:space="preserve">Main digital </w:t>
            </w:r>
            <w:r w:rsidR="00DD25E1">
              <w:rPr>
                <w:rFonts w:eastAsia="Times New Roman" w:cstheme="minorHAnsi"/>
                <w:b/>
                <w:i/>
                <w:sz w:val="20"/>
                <w:lang w:val="en-GB" w:eastAsia="it-IT"/>
              </w:rPr>
              <w:t>platform types</w:t>
            </w:r>
          </w:p>
        </w:tc>
        <w:tc>
          <w:tcPr>
            <w:tcW w:w="747" w:type="pct"/>
            <w:tcBorders>
              <w:top w:val="nil"/>
              <w:left w:val="nil"/>
              <w:bottom w:val="single" w:sz="4" w:space="0" w:color="auto"/>
              <w:right w:val="nil"/>
            </w:tcBorders>
            <w:shd w:val="clear" w:color="auto" w:fill="auto"/>
            <w:noWrap/>
            <w:vAlign w:val="bottom"/>
            <w:hideMark/>
          </w:tcPr>
          <w:p w14:paraId="147EAF48" w14:textId="2096AFAF" w:rsidR="000F6E52" w:rsidRPr="00A82D5C" w:rsidRDefault="000F6E52" w:rsidP="000F6E52">
            <w:pPr>
              <w:spacing w:after="0" w:line="240" w:lineRule="auto"/>
              <w:rPr>
                <w:rFonts w:eastAsia="Times New Roman" w:cstheme="minorHAnsi"/>
                <w:b/>
                <w:i/>
                <w:sz w:val="20"/>
                <w:lang w:val="en-GB" w:eastAsia="it-IT"/>
              </w:rPr>
            </w:pPr>
            <w:r w:rsidRPr="00C96891">
              <w:rPr>
                <w:rFonts w:eastAsia="Times New Roman" w:cstheme="minorHAnsi"/>
                <w:b/>
                <w:i/>
                <w:sz w:val="20"/>
                <w:lang w:val="en-GB" w:eastAsia="it-IT"/>
              </w:rPr>
              <w:t>Subcategories</w:t>
            </w:r>
          </w:p>
        </w:tc>
        <w:tc>
          <w:tcPr>
            <w:tcW w:w="655" w:type="pct"/>
            <w:tcBorders>
              <w:top w:val="nil"/>
              <w:left w:val="nil"/>
              <w:bottom w:val="single" w:sz="4" w:space="0" w:color="auto"/>
              <w:right w:val="nil"/>
            </w:tcBorders>
            <w:vAlign w:val="bottom"/>
          </w:tcPr>
          <w:p w14:paraId="1C67641A" w14:textId="052EF78B" w:rsidR="000F6E52" w:rsidRPr="00A82D5C" w:rsidRDefault="000F6E52" w:rsidP="000F6E52">
            <w:pPr>
              <w:spacing w:after="0" w:line="240" w:lineRule="auto"/>
              <w:rPr>
                <w:rFonts w:eastAsia="Times New Roman" w:cstheme="minorHAnsi"/>
                <w:b/>
                <w:i/>
                <w:color w:val="000000"/>
                <w:sz w:val="20"/>
                <w:lang w:val="en-GB" w:eastAsia="it-IT"/>
              </w:rPr>
            </w:pPr>
            <w:r>
              <w:rPr>
                <w:rFonts w:eastAsia="Times New Roman" w:cstheme="minorHAnsi"/>
                <w:b/>
                <w:i/>
                <w:color w:val="000000"/>
                <w:sz w:val="20"/>
                <w:lang w:val="en-GB" w:eastAsia="it-IT"/>
              </w:rPr>
              <w:t>Example</w:t>
            </w:r>
          </w:p>
        </w:tc>
        <w:tc>
          <w:tcPr>
            <w:tcW w:w="58" w:type="pct"/>
            <w:tcBorders>
              <w:top w:val="nil"/>
              <w:left w:val="nil"/>
              <w:bottom w:val="single" w:sz="4" w:space="0" w:color="auto"/>
              <w:right w:val="nil"/>
            </w:tcBorders>
            <w:shd w:val="clear" w:color="auto" w:fill="auto"/>
            <w:noWrap/>
            <w:vAlign w:val="bottom"/>
            <w:hideMark/>
          </w:tcPr>
          <w:p w14:paraId="5B170E4F" w14:textId="23B61C46" w:rsidR="000F6E52" w:rsidRPr="00A82D5C" w:rsidRDefault="000F6E52" w:rsidP="000F6E52">
            <w:pPr>
              <w:spacing w:after="0" w:line="240" w:lineRule="auto"/>
              <w:rPr>
                <w:rFonts w:eastAsia="Times New Roman" w:cstheme="minorHAnsi"/>
                <w:b/>
                <w:i/>
                <w:color w:val="000000"/>
                <w:sz w:val="20"/>
                <w:lang w:val="en-GB" w:eastAsia="it-IT"/>
              </w:rPr>
            </w:pPr>
          </w:p>
        </w:tc>
        <w:tc>
          <w:tcPr>
            <w:tcW w:w="868" w:type="pct"/>
            <w:tcBorders>
              <w:top w:val="nil"/>
              <w:left w:val="nil"/>
              <w:bottom w:val="single" w:sz="4" w:space="0" w:color="auto"/>
              <w:right w:val="nil"/>
            </w:tcBorders>
            <w:shd w:val="clear" w:color="auto" w:fill="auto"/>
            <w:noWrap/>
            <w:vAlign w:val="bottom"/>
            <w:hideMark/>
          </w:tcPr>
          <w:p w14:paraId="1E8CCC89" w14:textId="623AA621" w:rsidR="000F6E52" w:rsidRPr="00A82D5C" w:rsidRDefault="00EC1DA4" w:rsidP="00EC1DA4">
            <w:pPr>
              <w:spacing w:after="0" w:line="240" w:lineRule="auto"/>
              <w:rPr>
                <w:rFonts w:eastAsia="Times New Roman" w:cstheme="minorHAnsi"/>
                <w:b/>
                <w:i/>
                <w:color w:val="000000"/>
                <w:sz w:val="20"/>
                <w:lang w:val="en-GB" w:eastAsia="it-IT"/>
              </w:rPr>
            </w:pPr>
            <w:r>
              <w:rPr>
                <w:rFonts w:eastAsia="Times New Roman" w:cstheme="minorHAnsi"/>
                <w:b/>
                <w:i/>
                <w:color w:val="000000"/>
                <w:sz w:val="20"/>
                <w:lang w:val="en-GB" w:eastAsia="it-IT"/>
              </w:rPr>
              <w:t xml:space="preserve">Sells </w:t>
            </w:r>
            <w:r w:rsidR="000F6E52" w:rsidRPr="00C96891">
              <w:rPr>
                <w:rFonts w:eastAsia="Times New Roman" w:cstheme="minorHAnsi"/>
                <w:b/>
                <w:i/>
                <w:color w:val="000000"/>
                <w:sz w:val="20"/>
                <w:lang w:val="en-GB" w:eastAsia="it-IT"/>
              </w:rPr>
              <w:t>P</w:t>
            </w:r>
            <w:r w:rsidR="000F6E52" w:rsidRPr="00A82D5C">
              <w:rPr>
                <w:rFonts w:eastAsia="Times New Roman" w:cstheme="minorHAnsi"/>
                <w:b/>
                <w:i/>
                <w:color w:val="000000"/>
                <w:sz w:val="20"/>
                <w:lang w:val="en-GB" w:eastAsia="it-IT"/>
              </w:rPr>
              <w:t>roducers</w:t>
            </w:r>
            <w:r>
              <w:rPr>
                <w:rFonts w:eastAsia="Times New Roman" w:cstheme="minorHAnsi"/>
                <w:b/>
                <w:i/>
                <w:color w:val="000000"/>
                <w:sz w:val="20"/>
                <w:lang w:val="en-GB" w:eastAsia="it-IT"/>
              </w:rPr>
              <w:t xml:space="preserve"> or </w:t>
            </w:r>
            <w:r w:rsidR="000F6E52" w:rsidRPr="00A82D5C">
              <w:rPr>
                <w:rFonts w:eastAsia="Times New Roman" w:cstheme="minorHAnsi"/>
                <w:b/>
                <w:i/>
                <w:color w:val="000000"/>
                <w:sz w:val="20"/>
                <w:lang w:val="en-GB" w:eastAsia="it-IT"/>
              </w:rPr>
              <w:t>brands</w:t>
            </w:r>
          </w:p>
        </w:tc>
        <w:tc>
          <w:tcPr>
            <w:tcW w:w="662" w:type="pct"/>
            <w:tcBorders>
              <w:top w:val="nil"/>
              <w:left w:val="nil"/>
              <w:bottom w:val="single" w:sz="4" w:space="0" w:color="auto"/>
              <w:right w:val="nil"/>
            </w:tcBorders>
            <w:shd w:val="clear" w:color="auto" w:fill="auto"/>
            <w:noWrap/>
            <w:vAlign w:val="bottom"/>
            <w:hideMark/>
          </w:tcPr>
          <w:p w14:paraId="1A8F6376" w14:textId="77777777" w:rsidR="000F6E52" w:rsidRPr="00A82D5C" w:rsidRDefault="000F6E52" w:rsidP="000F6E52">
            <w:pPr>
              <w:spacing w:after="0" w:line="240" w:lineRule="auto"/>
              <w:rPr>
                <w:rFonts w:eastAsia="Times New Roman" w:cstheme="minorHAnsi"/>
                <w:b/>
                <w:i/>
                <w:color w:val="000000"/>
                <w:sz w:val="20"/>
                <w:lang w:val="en-GB" w:eastAsia="it-IT"/>
              </w:rPr>
            </w:pPr>
            <w:r w:rsidRPr="00A82D5C">
              <w:rPr>
                <w:rFonts w:eastAsia="Times New Roman" w:cstheme="minorHAnsi"/>
                <w:b/>
                <w:i/>
                <w:color w:val="000000"/>
                <w:sz w:val="20"/>
                <w:lang w:val="en-GB" w:eastAsia="it-IT"/>
              </w:rPr>
              <w:t>Profit/Non profit</w:t>
            </w:r>
          </w:p>
        </w:tc>
        <w:tc>
          <w:tcPr>
            <w:tcW w:w="912" w:type="pct"/>
            <w:tcBorders>
              <w:top w:val="nil"/>
              <w:left w:val="nil"/>
              <w:bottom w:val="single" w:sz="4" w:space="0" w:color="auto"/>
              <w:right w:val="nil"/>
            </w:tcBorders>
            <w:shd w:val="clear" w:color="auto" w:fill="auto"/>
            <w:noWrap/>
            <w:vAlign w:val="bottom"/>
            <w:hideMark/>
          </w:tcPr>
          <w:p w14:paraId="4DA738E2" w14:textId="470F7E0E" w:rsidR="000F6E52" w:rsidRPr="00A82D5C" w:rsidRDefault="000F6E52" w:rsidP="000F6E52">
            <w:pPr>
              <w:spacing w:after="0" w:line="240" w:lineRule="auto"/>
              <w:rPr>
                <w:rFonts w:eastAsia="Times New Roman" w:cstheme="minorHAnsi"/>
                <w:b/>
                <w:i/>
                <w:color w:val="000000"/>
                <w:sz w:val="20"/>
                <w:lang w:val="en-GB" w:eastAsia="it-IT"/>
              </w:rPr>
            </w:pPr>
            <w:r>
              <w:rPr>
                <w:rFonts w:eastAsia="Times New Roman" w:cstheme="minorHAnsi"/>
                <w:b/>
                <w:i/>
                <w:color w:val="000000"/>
                <w:sz w:val="20"/>
                <w:lang w:val="en-GB" w:eastAsia="it-IT"/>
              </w:rPr>
              <w:t>Other</w:t>
            </w:r>
            <w:r w:rsidR="002F1888">
              <w:rPr>
                <w:rFonts w:eastAsia="Times New Roman" w:cstheme="minorHAnsi"/>
                <w:b/>
                <w:i/>
                <w:color w:val="000000"/>
                <w:sz w:val="20"/>
                <w:lang w:val="en-GB" w:eastAsia="it-IT"/>
              </w:rPr>
              <w:t xml:space="preserve"> examples</w:t>
            </w:r>
          </w:p>
        </w:tc>
      </w:tr>
      <w:tr w:rsidR="006126AC" w:rsidRPr="00C96891" w14:paraId="5DE43901" w14:textId="77777777" w:rsidTr="00FD1374">
        <w:trPr>
          <w:trHeight w:val="340"/>
          <w:jc w:val="center"/>
        </w:trPr>
        <w:tc>
          <w:tcPr>
            <w:tcW w:w="10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09815" w14:textId="762ABDB2" w:rsidR="000F6E52" w:rsidRPr="00A82D5C" w:rsidRDefault="000F6E52" w:rsidP="00C96891">
            <w:pPr>
              <w:spacing w:after="0" w:line="240" w:lineRule="auto"/>
              <w:jc w:val="center"/>
              <w:rPr>
                <w:rFonts w:eastAsia="Times New Roman" w:cstheme="minorHAnsi"/>
                <w:b/>
                <w:bCs/>
                <w:color w:val="000000"/>
                <w:sz w:val="20"/>
                <w:lang w:val="en-GB" w:eastAsia="it-IT"/>
              </w:rPr>
            </w:pPr>
            <w:r>
              <w:rPr>
                <w:rFonts w:eastAsia="Times New Roman" w:cstheme="minorHAnsi"/>
                <w:b/>
                <w:bCs/>
                <w:color w:val="000000"/>
                <w:sz w:val="20"/>
                <w:lang w:val="en-GB" w:eastAsia="it-IT"/>
              </w:rPr>
              <w:t>Mass retail channel (GDO/GDS)</w:t>
            </w:r>
          </w:p>
        </w:tc>
        <w:tc>
          <w:tcPr>
            <w:tcW w:w="747" w:type="pct"/>
            <w:tcBorders>
              <w:top w:val="single" w:sz="4" w:space="0" w:color="auto"/>
              <w:left w:val="single" w:sz="4" w:space="0" w:color="auto"/>
              <w:bottom w:val="nil"/>
              <w:right w:val="nil"/>
            </w:tcBorders>
            <w:shd w:val="clear" w:color="auto" w:fill="auto"/>
            <w:noWrap/>
            <w:vAlign w:val="bottom"/>
            <w:hideMark/>
          </w:tcPr>
          <w:p w14:paraId="20A71694" w14:textId="77777777" w:rsidR="000F6E52" w:rsidRPr="00A82D5C" w:rsidRDefault="000F6E52" w:rsidP="00C96891">
            <w:pPr>
              <w:spacing w:after="0" w:line="240" w:lineRule="auto"/>
              <w:rPr>
                <w:rFonts w:eastAsia="Times New Roman" w:cstheme="minorHAnsi"/>
                <w:i/>
                <w:iCs/>
                <w:color w:val="000000"/>
                <w:sz w:val="20"/>
                <w:lang w:val="en-GB" w:eastAsia="it-IT"/>
              </w:rPr>
            </w:pPr>
            <w:r w:rsidRPr="00A82D5C">
              <w:rPr>
                <w:rFonts w:eastAsia="Times New Roman" w:cstheme="minorHAnsi"/>
                <w:i/>
                <w:iCs/>
                <w:color w:val="000000"/>
                <w:sz w:val="20"/>
                <w:lang w:val="en-GB" w:eastAsia="it-IT"/>
              </w:rPr>
              <w:t>Specialised</w:t>
            </w:r>
          </w:p>
        </w:tc>
        <w:tc>
          <w:tcPr>
            <w:tcW w:w="655" w:type="pct"/>
            <w:tcBorders>
              <w:top w:val="single" w:sz="4" w:space="0" w:color="auto"/>
              <w:left w:val="nil"/>
              <w:bottom w:val="nil"/>
              <w:right w:val="nil"/>
            </w:tcBorders>
            <w:vAlign w:val="bottom"/>
          </w:tcPr>
          <w:p w14:paraId="26137C89" w14:textId="5E054D1B" w:rsidR="000F6E52" w:rsidRPr="00A82D5C" w:rsidRDefault="00056807" w:rsidP="00C96891">
            <w:pPr>
              <w:spacing w:after="0" w:line="240" w:lineRule="auto"/>
              <w:rPr>
                <w:rFonts w:eastAsia="Times New Roman" w:cstheme="minorHAnsi"/>
                <w:i/>
                <w:iCs/>
                <w:color w:val="000000"/>
                <w:sz w:val="20"/>
                <w:lang w:val="en-GB" w:eastAsia="it-IT"/>
              </w:rPr>
            </w:pPr>
            <w:hyperlink r:id="rId24" w:history="1">
              <w:r w:rsidR="000F6E52" w:rsidRPr="00EC1DA4">
                <w:rPr>
                  <w:rStyle w:val="Collegamentoipertestuale"/>
                  <w:rFonts w:eastAsia="Times New Roman" w:cstheme="minorHAnsi"/>
                  <w:sz w:val="20"/>
                  <w:lang w:val="en-GB" w:eastAsia="it-IT"/>
                </w:rPr>
                <w:t>Natura Sì</w:t>
              </w:r>
            </w:hyperlink>
          </w:p>
        </w:tc>
        <w:tc>
          <w:tcPr>
            <w:tcW w:w="58" w:type="pct"/>
            <w:tcBorders>
              <w:top w:val="single" w:sz="4" w:space="0" w:color="auto"/>
              <w:left w:val="nil"/>
              <w:bottom w:val="nil"/>
              <w:right w:val="nil"/>
            </w:tcBorders>
            <w:shd w:val="clear" w:color="auto" w:fill="auto"/>
            <w:noWrap/>
            <w:vAlign w:val="bottom"/>
            <w:hideMark/>
          </w:tcPr>
          <w:p w14:paraId="4519E10A" w14:textId="4577F58A" w:rsidR="000F6E52" w:rsidRPr="00A82D5C" w:rsidRDefault="000F6E52" w:rsidP="00C96891">
            <w:pPr>
              <w:spacing w:after="0" w:line="240" w:lineRule="auto"/>
              <w:rPr>
                <w:rFonts w:eastAsia="Times New Roman" w:cstheme="minorHAnsi"/>
                <w:i/>
                <w:iCs/>
                <w:color w:val="000000"/>
                <w:sz w:val="20"/>
                <w:lang w:val="en-GB" w:eastAsia="it-IT"/>
              </w:rPr>
            </w:pPr>
          </w:p>
        </w:tc>
        <w:tc>
          <w:tcPr>
            <w:tcW w:w="868" w:type="pct"/>
            <w:tcBorders>
              <w:top w:val="single" w:sz="4" w:space="0" w:color="auto"/>
              <w:left w:val="nil"/>
              <w:bottom w:val="nil"/>
              <w:right w:val="nil"/>
            </w:tcBorders>
            <w:shd w:val="clear" w:color="auto" w:fill="auto"/>
            <w:noWrap/>
            <w:vAlign w:val="bottom"/>
            <w:hideMark/>
          </w:tcPr>
          <w:p w14:paraId="0CDB1C18" w14:textId="6E988E3A" w:rsidR="000F6E52" w:rsidRPr="00A82D5C" w:rsidRDefault="000F6E52" w:rsidP="00C96891">
            <w:pPr>
              <w:spacing w:after="0" w:line="240" w:lineRule="auto"/>
              <w:rPr>
                <w:rFonts w:eastAsia="Times New Roman" w:cstheme="minorHAnsi"/>
                <w:sz w:val="20"/>
                <w:lang w:val="en-GB" w:eastAsia="it-IT"/>
              </w:rPr>
            </w:pPr>
            <w:r w:rsidRPr="00C96891">
              <w:rPr>
                <w:rFonts w:eastAsia="Times New Roman" w:cstheme="minorHAnsi"/>
                <w:sz w:val="20"/>
                <w:lang w:val="en-GB" w:eastAsia="it-IT"/>
              </w:rPr>
              <w:t>Brands</w:t>
            </w:r>
          </w:p>
        </w:tc>
        <w:tc>
          <w:tcPr>
            <w:tcW w:w="662" w:type="pct"/>
            <w:tcBorders>
              <w:top w:val="single" w:sz="4" w:space="0" w:color="auto"/>
              <w:left w:val="nil"/>
              <w:bottom w:val="nil"/>
              <w:right w:val="nil"/>
            </w:tcBorders>
            <w:shd w:val="clear" w:color="auto" w:fill="auto"/>
            <w:noWrap/>
            <w:vAlign w:val="bottom"/>
            <w:hideMark/>
          </w:tcPr>
          <w:p w14:paraId="4CD187EE" w14:textId="4F5FFEA7" w:rsidR="000F6E52" w:rsidRPr="00A82D5C" w:rsidRDefault="000F6E52" w:rsidP="00C96891">
            <w:pPr>
              <w:spacing w:after="0" w:line="240" w:lineRule="auto"/>
              <w:rPr>
                <w:rFonts w:eastAsia="Times New Roman" w:cstheme="minorHAnsi"/>
                <w:sz w:val="20"/>
                <w:lang w:val="en-GB" w:eastAsia="it-IT"/>
              </w:rPr>
            </w:pPr>
            <w:r w:rsidRPr="00C96891">
              <w:rPr>
                <w:rFonts w:eastAsia="Times New Roman" w:cstheme="minorHAnsi"/>
                <w:sz w:val="20"/>
                <w:lang w:val="en-GB" w:eastAsia="it-IT"/>
              </w:rPr>
              <w:t>Profit</w:t>
            </w:r>
          </w:p>
        </w:tc>
        <w:tc>
          <w:tcPr>
            <w:tcW w:w="912" w:type="pct"/>
            <w:tcBorders>
              <w:top w:val="single" w:sz="4" w:space="0" w:color="auto"/>
              <w:left w:val="nil"/>
              <w:bottom w:val="nil"/>
              <w:right w:val="nil"/>
            </w:tcBorders>
            <w:shd w:val="clear" w:color="auto" w:fill="auto"/>
            <w:noWrap/>
            <w:vAlign w:val="bottom"/>
            <w:hideMark/>
          </w:tcPr>
          <w:p w14:paraId="19FB6F29" w14:textId="7D28B3AA" w:rsidR="000F6E52" w:rsidRPr="00A82D5C" w:rsidRDefault="00056807" w:rsidP="00C96891">
            <w:pPr>
              <w:spacing w:after="0" w:line="240" w:lineRule="auto"/>
              <w:rPr>
                <w:rFonts w:eastAsia="Times New Roman" w:cstheme="minorHAnsi"/>
                <w:color w:val="000000"/>
                <w:sz w:val="20"/>
                <w:lang w:val="en-GB" w:eastAsia="it-IT"/>
              </w:rPr>
            </w:pPr>
            <w:hyperlink r:id="rId25" w:history="1">
              <w:r w:rsidR="000F6E52" w:rsidRPr="00EC1DA4">
                <w:rPr>
                  <w:rStyle w:val="Collegamentoipertestuale"/>
                  <w:rFonts w:eastAsia="Times New Roman" w:cstheme="minorHAnsi"/>
                  <w:sz w:val="20"/>
                  <w:lang w:val="en-GB" w:eastAsia="it-IT"/>
                </w:rPr>
                <w:t>Eataly</w:t>
              </w:r>
              <w:r w:rsidR="00EC1DA4" w:rsidRPr="00EC1DA4">
                <w:rPr>
                  <w:rStyle w:val="Collegamentoipertestuale"/>
                  <w:rFonts w:eastAsia="Times New Roman" w:cstheme="minorHAnsi"/>
                  <w:sz w:val="20"/>
                  <w:lang w:val="en-GB" w:eastAsia="it-IT"/>
                </w:rPr>
                <w:t xml:space="preserve"> Today</w:t>
              </w:r>
            </w:hyperlink>
          </w:p>
        </w:tc>
      </w:tr>
      <w:tr w:rsidR="006126AC" w:rsidRPr="00C96891" w14:paraId="1083FFD5" w14:textId="77777777" w:rsidTr="00FD1374">
        <w:trPr>
          <w:trHeight w:val="340"/>
          <w:jc w:val="center"/>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176BD5A6" w14:textId="77777777" w:rsidR="000F6E52" w:rsidRPr="00A82D5C" w:rsidRDefault="000F6E52" w:rsidP="00C96891">
            <w:pPr>
              <w:spacing w:after="0" w:line="240" w:lineRule="auto"/>
              <w:rPr>
                <w:rFonts w:eastAsia="Times New Roman" w:cstheme="minorHAnsi"/>
                <w:b/>
                <w:bCs/>
                <w:color w:val="000000"/>
                <w:sz w:val="20"/>
                <w:lang w:val="en-GB" w:eastAsia="it-IT"/>
              </w:rPr>
            </w:pPr>
          </w:p>
        </w:tc>
        <w:tc>
          <w:tcPr>
            <w:tcW w:w="747" w:type="pct"/>
            <w:tcBorders>
              <w:top w:val="nil"/>
              <w:left w:val="single" w:sz="4" w:space="0" w:color="auto"/>
              <w:bottom w:val="single" w:sz="4" w:space="0" w:color="auto"/>
              <w:right w:val="nil"/>
            </w:tcBorders>
            <w:shd w:val="clear" w:color="auto" w:fill="auto"/>
            <w:noWrap/>
            <w:vAlign w:val="bottom"/>
            <w:hideMark/>
          </w:tcPr>
          <w:p w14:paraId="1EF00591" w14:textId="77777777" w:rsidR="000F6E52" w:rsidRPr="00A82D5C" w:rsidRDefault="000F6E52" w:rsidP="00C96891">
            <w:pPr>
              <w:spacing w:after="0" w:line="240" w:lineRule="auto"/>
              <w:rPr>
                <w:rFonts w:eastAsia="Times New Roman" w:cstheme="minorHAnsi"/>
                <w:i/>
                <w:iCs/>
                <w:color w:val="000000"/>
                <w:sz w:val="20"/>
                <w:lang w:val="en-GB" w:eastAsia="it-IT"/>
              </w:rPr>
            </w:pPr>
            <w:r w:rsidRPr="00A82D5C">
              <w:rPr>
                <w:rFonts w:eastAsia="Times New Roman" w:cstheme="minorHAnsi"/>
                <w:i/>
                <w:iCs/>
                <w:color w:val="000000"/>
                <w:sz w:val="20"/>
                <w:lang w:val="en-GB" w:eastAsia="it-IT"/>
              </w:rPr>
              <w:t>Organised</w:t>
            </w:r>
          </w:p>
        </w:tc>
        <w:tc>
          <w:tcPr>
            <w:tcW w:w="655" w:type="pct"/>
            <w:tcBorders>
              <w:top w:val="nil"/>
              <w:left w:val="nil"/>
              <w:bottom w:val="single" w:sz="4" w:space="0" w:color="auto"/>
              <w:right w:val="nil"/>
            </w:tcBorders>
            <w:vAlign w:val="bottom"/>
          </w:tcPr>
          <w:p w14:paraId="34694387" w14:textId="3F8B26A9" w:rsidR="000F6E52" w:rsidRPr="00A82D5C" w:rsidRDefault="00056807" w:rsidP="00C96891">
            <w:pPr>
              <w:spacing w:after="0" w:line="240" w:lineRule="auto"/>
              <w:rPr>
                <w:rFonts w:eastAsia="Times New Roman" w:cstheme="minorHAnsi"/>
                <w:i/>
                <w:iCs/>
                <w:color w:val="000000"/>
                <w:sz w:val="20"/>
                <w:lang w:val="en-GB" w:eastAsia="it-IT"/>
              </w:rPr>
            </w:pPr>
            <w:hyperlink r:id="rId26" w:history="1">
              <w:r w:rsidR="000F6E52" w:rsidRPr="00EC1DA4">
                <w:rPr>
                  <w:rStyle w:val="Collegamentoipertestuale"/>
                  <w:rFonts w:eastAsia="Times New Roman" w:cstheme="minorHAnsi"/>
                  <w:sz w:val="20"/>
                  <w:lang w:val="en-GB" w:eastAsia="it-IT"/>
                </w:rPr>
                <w:t>Esselunga</w:t>
              </w:r>
            </w:hyperlink>
          </w:p>
        </w:tc>
        <w:tc>
          <w:tcPr>
            <w:tcW w:w="58" w:type="pct"/>
            <w:tcBorders>
              <w:top w:val="nil"/>
              <w:left w:val="nil"/>
              <w:bottom w:val="single" w:sz="4" w:space="0" w:color="auto"/>
              <w:right w:val="nil"/>
            </w:tcBorders>
            <w:shd w:val="clear" w:color="auto" w:fill="auto"/>
            <w:noWrap/>
            <w:vAlign w:val="bottom"/>
            <w:hideMark/>
          </w:tcPr>
          <w:p w14:paraId="7912515B" w14:textId="549D5F99" w:rsidR="000F6E52" w:rsidRPr="00A82D5C" w:rsidRDefault="000F6E52" w:rsidP="00C96891">
            <w:pPr>
              <w:spacing w:after="0" w:line="240" w:lineRule="auto"/>
              <w:rPr>
                <w:rFonts w:eastAsia="Times New Roman" w:cstheme="minorHAnsi"/>
                <w:i/>
                <w:iCs/>
                <w:color w:val="000000"/>
                <w:sz w:val="20"/>
                <w:lang w:val="en-GB" w:eastAsia="it-IT"/>
              </w:rPr>
            </w:pPr>
          </w:p>
        </w:tc>
        <w:tc>
          <w:tcPr>
            <w:tcW w:w="868" w:type="pct"/>
            <w:tcBorders>
              <w:top w:val="nil"/>
              <w:left w:val="nil"/>
              <w:bottom w:val="single" w:sz="4" w:space="0" w:color="auto"/>
              <w:right w:val="nil"/>
            </w:tcBorders>
            <w:shd w:val="clear" w:color="auto" w:fill="auto"/>
            <w:noWrap/>
            <w:vAlign w:val="bottom"/>
            <w:hideMark/>
          </w:tcPr>
          <w:p w14:paraId="4EC80D6A" w14:textId="100D7A83" w:rsidR="000F6E52" w:rsidRPr="00A82D5C" w:rsidRDefault="000F6E52" w:rsidP="00C96891">
            <w:pPr>
              <w:spacing w:after="0" w:line="240" w:lineRule="auto"/>
              <w:rPr>
                <w:rFonts w:eastAsia="Times New Roman" w:cstheme="minorHAnsi"/>
                <w:sz w:val="20"/>
                <w:lang w:val="en-GB" w:eastAsia="it-IT"/>
              </w:rPr>
            </w:pPr>
            <w:r w:rsidRPr="00C96891">
              <w:rPr>
                <w:rFonts w:eastAsia="Times New Roman" w:cstheme="minorHAnsi"/>
                <w:sz w:val="20"/>
                <w:lang w:val="en-GB" w:eastAsia="it-IT"/>
              </w:rPr>
              <w:t>Brands</w:t>
            </w:r>
          </w:p>
        </w:tc>
        <w:tc>
          <w:tcPr>
            <w:tcW w:w="662" w:type="pct"/>
            <w:tcBorders>
              <w:top w:val="nil"/>
              <w:left w:val="nil"/>
              <w:bottom w:val="single" w:sz="4" w:space="0" w:color="auto"/>
              <w:right w:val="nil"/>
            </w:tcBorders>
            <w:shd w:val="clear" w:color="auto" w:fill="auto"/>
            <w:noWrap/>
            <w:vAlign w:val="bottom"/>
            <w:hideMark/>
          </w:tcPr>
          <w:p w14:paraId="6BB77100" w14:textId="7B3E7BDB" w:rsidR="000F6E52" w:rsidRPr="00A82D5C" w:rsidRDefault="000F6E52" w:rsidP="00C96891">
            <w:pPr>
              <w:spacing w:after="0" w:line="240" w:lineRule="auto"/>
              <w:rPr>
                <w:rFonts w:eastAsia="Times New Roman" w:cstheme="minorHAnsi"/>
                <w:sz w:val="20"/>
                <w:lang w:val="en-GB" w:eastAsia="it-IT"/>
              </w:rPr>
            </w:pPr>
            <w:r w:rsidRPr="00C96891">
              <w:rPr>
                <w:rFonts w:eastAsia="Times New Roman" w:cstheme="minorHAnsi"/>
                <w:sz w:val="20"/>
                <w:lang w:val="en-GB" w:eastAsia="it-IT"/>
              </w:rPr>
              <w:t>Profit</w:t>
            </w:r>
          </w:p>
        </w:tc>
        <w:tc>
          <w:tcPr>
            <w:tcW w:w="912" w:type="pct"/>
            <w:tcBorders>
              <w:top w:val="nil"/>
              <w:left w:val="nil"/>
              <w:bottom w:val="single" w:sz="4" w:space="0" w:color="auto"/>
              <w:right w:val="nil"/>
            </w:tcBorders>
            <w:shd w:val="clear" w:color="auto" w:fill="auto"/>
            <w:noWrap/>
            <w:vAlign w:val="bottom"/>
            <w:hideMark/>
          </w:tcPr>
          <w:p w14:paraId="6980E2A7" w14:textId="3BE8B564" w:rsidR="000F6E52" w:rsidRPr="00A82D5C" w:rsidRDefault="00056807" w:rsidP="00C96891">
            <w:pPr>
              <w:spacing w:after="0" w:line="240" w:lineRule="auto"/>
              <w:rPr>
                <w:rFonts w:eastAsia="Times New Roman" w:cstheme="minorHAnsi"/>
                <w:color w:val="000000"/>
                <w:sz w:val="20"/>
                <w:lang w:val="en-GB" w:eastAsia="it-IT"/>
              </w:rPr>
            </w:pPr>
            <w:hyperlink r:id="rId27" w:history="1">
              <w:r w:rsidR="000F6E52" w:rsidRPr="00EC1DA4">
                <w:rPr>
                  <w:rStyle w:val="Collegamentoipertestuale"/>
                  <w:rFonts w:eastAsia="Times New Roman" w:cstheme="minorHAnsi"/>
                  <w:sz w:val="20"/>
                  <w:lang w:val="en-GB" w:eastAsia="it-IT"/>
                </w:rPr>
                <w:t>Coop</w:t>
              </w:r>
            </w:hyperlink>
          </w:p>
        </w:tc>
      </w:tr>
      <w:tr w:rsidR="006126AC" w:rsidRPr="00C96891" w14:paraId="24588BE9" w14:textId="77777777" w:rsidTr="00FD1374">
        <w:trPr>
          <w:trHeight w:val="340"/>
          <w:jc w:val="center"/>
        </w:trPr>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A35B8" w14:textId="77777777" w:rsidR="000F6E52" w:rsidRPr="00A82D5C" w:rsidRDefault="000F6E52" w:rsidP="00C96891">
            <w:pPr>
              <w:spacing w:after="0" w:line="240" w:lineRule="auto"/>
              <w:jc w:val="center"/>
              <w:rPr>
                <w:rFonts w:eastAsia="Times New Roman" w:cstheme="minorHAnsi"/>
                <w:b/>
                <w:bCs/>
                <w:color w:val="000000"/>
                <w:sz w:val="20"/>
                <w:lang w:val="en-GB" w:eastAsia="it-IT"/>
              </w:rPr>
            </w:pPr>
            <w:r w:rsidRPr="00A82D5C">
              <w:rPr>
                <w:rFonts w:eastAsia="Times New Roman" w:cstheme="minorHAnsi"/>
                <w:b/>
                <w:bCs/>
                <w:color w:val="000000"/>
                <w:sz w:val="20"/>
                <w:lang w:val="en-GB" w:eastAsia="it-IT"/>
              </w:rPr>
              <w:t>Traditional Shops (CDS)</w:t>
            </w:r>
          </w:p>
        </w:tc>
        <w:tc>
          <w:tcPr>
            <w:tcW w:w="747" w:type="pct"/>
            <w:tcBorders>
              <w:top w:val="single" w:sz="4" w:space="0" w:color="auto"/>
              <w:left w:val="single" w:sz="4" w:space="0" w:color="auto"/>
              <w:bottom w:val="single" w:sz="4" w:space="0" w:color="auto"/>
              <w:right w:val="nil"/>
            </w:tcBorders>
            <w:shd w:val="clear" w:color="auto" w:fill="auto"/>
            <w:noWrap/>
            <w:vAlign w:val="bottom"/>
            <w:hideMark/>
          </w:tcPr>
          <w:p w14:paraId="43EB952E" w14:textId="062C03FC" w:rsidR="000F6E52" w:rsidRPr="00A82D5C" w:rsidRDefault="000F6E52" w:rsidP="00C96891">
            <w:pPr>
              <w:spacing w:after="0" w:line="240" w:lineRule="auto"/>
              <w:rPr>
                <w:rFonts w:eastAsia="Times New Roman" w:cstheme="minorHAnsi"/>
                <w:bCs/>
                <w:i/>
                <w:color w:val="000000"/>
                <w:sz w:val="20"/>
                <w:lang w:val="en-GB" w:eastAsia="it-IT"/>
              </w:rPr>
            </w:pPr>
            <w:r w:rsidRPr="00C96891">
              <w:rPr>
                <w:rFonts w:eastAsia="Times New Roman" w:cstheme="minorHAnsi"/>
                <w:bCs/>
                <w:i/>
                <w:color w:val="000000"/>
                <w:sz w:val="20"/>
                <w:lang w:val="en-GB" w:eastAsia="it-IT"/>
              </w:rPr>
              <w:t>(Mainly by food type)</w:t>
            </w:r>
          </w:p>
        </w:tc>
        <w:tc>
          <w:tcPr>
            <w:tcW w:w="655" w:type="pct"/>
            <w:tcBorders>
              <w:top w:val="single" w:sz="4" w:space="0" w:color="auto"/>
              <w:left w:val="nil"/>
              <w:bottom w:val="single" w:sz="4" w:space="0" w:color="auto"/>
              <w:right w:val="nil"/>
            </w:tcBorders>
            <w:vAlign w:val="bottom"/>
          </w:tcPr>
          <w:p w14:paraId="39B7A9BB" w14:textId="1E3900FE" w:rsidR="000F6E52" w:rsidRPr="00A82D5C" w:rsidRDefault="00056807" w:rsidP="00C96891">
            <w:pPr>
              <w:spacing w:after="0" w:line="240" w:lineRule="auto"/>
              <w:rPr>
                <w:rFonts w:eastAsia="Times New Roman" w:cstheme="minorHAnsi"/>
                <w:sz w:val="20"/>
                <w:lang w:val="en-GB" w:eastAsia="it-IT"/>
              </w:rPr>
            </w:pPr>
            <w:hyperlink r:id="rId28" w:history="1">
              <w:r w:rsidR="000F6E52" w:rsidRPr="00EC1DA4">
                <w:rPr>
                  <w:rStyle w:val="Collegamentoipertestuale"/>
                  <w:rFonts w:eastAsia="Times New Roman" w:cstheme="minorHAnsi"/>
                  <w:sz w:val="20"/>
                  <w:lang w:val="en-GB" w:eastAsia="it-IT"/>
                </w:rPr>
                <w:t>Lunelli</w:t>
              </w:r>
            </w:hyperlink>
          </w:p>
        </w:tc>
        <w:tc>
          <w:tcPr>
            <w:tcW w:w="58" w:type="pct"/>
            <w:tcBorders>
              <w:top w:val="single" w:sz="4" w:space="0" w:color="auto"/>
              <w:left w:val="nil"/>
              <w:bottom w:val="single" w:sz="4" w:space="0" w:color="auto"/>
              <w:right w:val="nil"/>
            </w:tcBorders>
            <w:shd w:val="clear" w:color="auto" w:fill="auto"/>
            <w:noWrap/>
            <w:vAlign w:val="bottom"/>
            <w:hideMark/>
          </w:tcPr>
          <w:p w14:paraId="3FC6EE89" w14:textId="45506ECE" w:rsidR="000F6E52" w:rsidRPr="00A82D5C" w:rsidRDefault="000F6E52" w:rsidP="00C96891">
            <w:pPr>
              <w:spacing w:after="0" w:line="240" w:lineRule="auto"/>
              <w:rPr>
                <w:rFonts w:eastAsia="Times New Roman" w:cstheme="minorHAnsi"/>
                <w:sz w:val="20"/>
                <w:lang w:val="en-GB" w:eastAsia="it-IT"/>
              </w:rPr>
            </w:pPr>
          </w:p>
        </w:tc>
        <w:tc>
          <w:tcPr>
            <w:tcW w:w="868" w:type="pct"/>
            <w:tcBorders>
              <w:top w:val="single" w:sz="4" w:space="0" w:color="auto"/>
              <w:left w:val="nil"/>
              <w:bottom w:val="single" w:sz="4" w:space="0" w:color="auto"/>
              <w:right w:val="nil"/>
            </w:tcBorders>
            <w:shd w:val="clear" w:color="auto" w:fill="auto"/>
            <w:noWrap/>
            <w:vAlign w:val="bottom"/>
            <w:hideMark/>
          </w:tcPr>
          <w:p w14:paraId="4DB9DC07" w14:textId="563B4709" w:rsidR="000F6E52" w:rsidRPr="00A82D5C" w:rsidRDefault="000F6E52" w:rsidP="00C96891">
            <w:pPr>
              <w:spacing w:after="0" w:line="240" w:lineRule="auto"/>
              <w:rPr>
                <w:rFonts w:eastAsia="Times New Roman" w:cstheme="minorHAnsi"/>
                <w:sz w:val="20"/>
                <w:lang w:val="en-GB" w:eastAsia="it-IT"/>
              </w:rPr>
            </w:pPr>
            <w:r w:rsidRPr="00C96891">
              <w:rPr>
                <w:rFonts w:eastAsia="Times New Roman" w:cstheme="minorHAnsi"/>
                <w:sz w:val="20"/>
                <w:lang w:val="en-GB" w:eastAsia="it-IT"/>
              </w:rPr>
              <w:t>Brands and/or producers</w:t>
            </w:r>
          </w:p>
        </w:tc>
        <w:tc>
          <w:tcPr>
            <w:tcW w:w="662" w:type="pct"/>
            <w:tcBorders>
              <w:top w:val="single" w:sz="4" w:space="0" w:color="auto"/>
              <w:left w:val="nil"/>
              <w:bottom w:val="single" w:sz="4" w:space="0" w:color="auto"/>
              <w:right w:val="nil"/>
            </w:tcBorders>
            <w:shd w:val="clear" w:color="auto" w:fill="auto"/>
            <w:noWrap/>
            <w:vAlign w:val="bottom"/>
            <w:hideMark/>
          </w:tcPr>
          <w:p w14:paraId="6E3AE5B6" w14:textId="2DAD871A" w:rsidR="000F6E52" w:rsidRPr="00A82D5C" w:rsidRDefault="000F6E52" w:rsidP="00C96891">
            <w:pPr>
              <w:spacing w:after="0" w:line="240" w:lineRule="auto"/>
              <w:rPr>
                <w:rFonts w:eastAsia="Times New Roman" w:cstheme="minorHAnsi"/>
                <w:sz w:val="20"/>
                <w:lang w:val="en-GB" w:eastAsia="it-IT"/>
              </w:rPr>
            </w:pPr>
            <w:r w:rsidRPr="00C96891">
              <w:rPr>
                <w:rFonts w:eastAsia="Times New Roman" w:cstheme="minorHAnsi"/>
                <w:sz w:val="20"/>
                <w:lang w:val="en-GB" w:eastAsia="it-IT"/>
              </w:rPr>
              <w:t>Profit</w:t>
            </w:r>
          </w:p>
        </w:tc>
        <w:tc>
          <w:tcPr>
            <w:tcW w:w="912" w:type="pct"/>
            <w:tcBorders>
              <w:top w:val="single" w:sz="4" w:space="0" w:color="auto"/>
              <w:left w:val="nil"/>
              <w:bottom w:val="single" w:sz="4" w:space="0" w:color="auto"/>
              <w:right w:val="nil"/>
            </w:tcBorders>
            <w:shd w:val="clear" w:color="auto" w:fill="auto"/>
            <w:noWrap/>
            <w:vAlign w:val="bottom"/>
            <w:hideMark/>
          </w:tcPr>
          <w:p w14:paraId="435EBBD4" w14:textId="027C6C51" w:rsidR="000F6E52" w:rsidRPr="00A82D5C" w:rsidRDefault="00056807" w:rsidP="00C96891">
            <w:pPr>
              <w:spacing w:after="0" w:line="240" w:lineRule="auto"/>
              <w:rPr>
                <w:rFonts w:eastAsia="Times New Roman" w:cstheme="minorHAnsi"/>
                <w:color w:val="000000"/>
                <w:sz w:val="20"/>
                <w:lang w:val="en-GB" w:eastAsia="it-IT"/>
              </w:rPr>
            </w:pPr>
            <w:hyperlink r:id="rId29" w:history="1">
              <w:r w:rsidR="006126AC" w:rsidRPr="00EC1DA4">
                <w:rPr>
                  <w:rStyle w:val="Collegamentoipertestuale"/>
                  <w:rFonts w:eastAsia="Times New Roman" w:cstheme="minorHAnsi"/>
                  <w:sz w:val="20"/>
                  <w:lang w:val="en-GB" w:eastAsia="it-IT"/>
                </w:rPr>
                <w:t>Salumeria Giovanni Bacchi</w:t>
              </w:r>
            </w:hyperlink>
          </w:p>
        </w:tc>
      </w:tr>
      <w:tr w:rsidR="006126AC" w:rsidRPr="00C96891" w14:paraId="1B4CEC9C" w14:textId="77777777" w:rsidTr="00FD1374">
        <w:trPr>
          <w:trHeight w:val="340"/>
          <w:jc w:val="center"/>
        </w:trPr>
        <w:tc>
          <w:tcPr>
            <w:tcW w:w="10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C1F97" w14:textId="04C01E9C" w:rsidR="000F6E52" w:rsidRPr="00A82D5C" w:rsidRDefault="000F6E52" w:rsidP="00C96891">
            <w:pPr>
              <w:spacing w:after="0" w:line="240" w:lineRule="auto"/>
              <w:jc w:val="center"/>
              <w:rPr>
                <w:rFonts w:eastAsia="Times New Roman" w:cstheme="minorHAnsi"/>
                <w:b/>
                <w:bCs/>
                <w:color w:val="000000"/>
                <w:sz w:val="20"/>
                <w:lang w:val="en-GB" w:eastAsia="it-IT"/>
              </w:rPr>
            </w:pPr>
            <w:r w:rsidRPr="00A82D5C">
              <w:rPr>
                <w:rFonts w:eastAsia="Times New Roman" w:cstheme="minorHAnsi"/>
                <w:b/>
                <w:bCs/>
                <w:color w:val="000000"/>
                <w:sz w:val="20"/>
                <w:lang w:val="en-GB" w:eastAsia="it-IT"/>
              </w:rPr>
              <w:t>Online</w:t>
            </w:r>
            <w:r w:rsidRPr="00C96891">
              <w:rPr>
                <w:rFonts w:eastAsia="Times New Roman" w:cstheme="minorHAnsi"/>
                <w:b/>
                <w:bCs/>
                <w:color w:val="000000"/>
                <w:sz w:val="20"/>
                <w:lang w:val="en-GB" w:eastAsia="it-IT"/>
              </w:rPr>
              <w:t>-</w:t>
            </w:r>
            <w:r w:rsidRPr="00A82D5C">
              <w:rPr>
                <w:rFonts w:eastAsia="Times New Roman" w:cstheme="minorHAnsi"/>
                <w:b/>
                <w:bCs/>
                <w:color w:val="000000"/>
                <w:sz w:val="20"/>
                <w:lang w:val="en-GB" w:eastAsia="it-IT"/>
              </w:rPr>
              <w:t>only</w:t>
            </w:r>
          </w:p>
        </w:tc>
        <w:tc>
          <w:tcPr>
            <w:tcW w:w="747" w:type="pct"/>
            <w:tcBorders>
              <w:top w:val="single" w:sz="4" w:space="0" w:color="auto"/>
              <w:left w:val="single" w:sz="4" w:space="0" w:color="auto"/>
              <w:right w:val="nil"/>
            </w:tcBorders>
            <w:shd w:val="clear" w:color="auto" w:fill="auto"/>
            <w:noWrap/>
            <w:vAlign w:val="bottom"/>
            <w:hideMark/>
          </w:tcPr>
          <w:p w14:paraId="2A54DBAB" w14:textId="06A6F589" w:rsidR="000F6E52" w:rsidRPr="00A82D5C" w:rsidRDefault="000F6E52" w:rsidP="00C96891">
            <w:pPr>
              <w:spacing w:after="0" w:line="240" w:lineRule="auto"/>
              <w:rPr>
                <w:rFonts w:eastAsia="Times New Roman" w:cstheme="minorHAnsi"/>
                <w:i/>
                <w:iCs/>
                <w:color w:val="000000"/>
                <w:sz w:val="20"/>
                <w:lang w:val="en-GB" w:eastAsia="it-IT"/>
              </w:rPr>
            </w:pPr>
            <w:r w:rsidRPr="00A82D5C">
              <w:rPr>
                <w:rFonts w:eastAsia="Times New Roman" w:cstheme="minorHAnsi"/>
                <w:i/>
                <w:iCs/>
                <w:color w:val="000000"/>
                <w:sz w:val="20"/>
                <w:lang w:val="en-GB" w:eastAsia="it-IT"/>
              </w:rPr>
              <w:t>Mono</w:t>
            </w:r>
            <w:r w:rsidRPr="00C96891">
              <w:rPr>
                <w:rFonts w:eastAsia="Times New Roman" w:cstheme="minorHAnsi"/>
                <w:i/>
                <w:iCs/>
                <w:color w:val="000000"/>
                <w:sz w:val="20"/>
                <w:lang w:val="en-GB" w:eastAsia="it-IT"/>
              </w:rPr>
              <w:t>-</w:t>
            </w:r>
            <w:r w:rsidRPr="00A82D5C">
              <w:rPr>
                <w:rFonts w:eastAsia="Times New Roman" w:cstheme="minorHAnsi"/>
                <w:i/>
                <w:iCs/>
                <w:color w:val="000000"/>
                <w:sz w:val="20"/>
                <w:lang w:val="en-GB" w:eastAsia="it-IT"/>
              </w:rPr>
              <w:t>product</w:t>
            </w:r>
          </w:p>
        </w:tc>
        <w:tc>
          <w:tcPr>
            <w:tcW w:w="655" w:type="pct"/>
            <w:tcBorders>
              <w:top w:val="single" w:sz="4" w:space="0" w:color="auto"/>
              <w:left w:val="nil"/>
              <w:right w:val="nil"/>
            </w:tcBorders>
            <w:vAlign w:val="bottom"/>
          </w:tcPr>
          <w:p w14:paraId="08EE1EED" w14:textId="549373EC" w:rsidR="000F6E52" w:rsidRPr="00A82D5C" w:rsidRDefault="00056807" w:rsidP="00C96891">
            <w:pPr>
              <w:spacing w:after="0" w:line="240" w:lineRule="auto"/>
              <w:rPr>
                <w:rFonts w:eastAsia="Times New Roman" w:cstheme="minorHAnsi"/>
                <w:i/>
                <w:iCs/>
                <w:color w:val="000000"/>
                <w:sz w:val="20"/>
                <w:lang w:val="en-GB" w:eastAsia="it-IT"/>
              </w:rPr>
            </w:pPr>
            <w:hyperlink r:id="rId30" w:history="1">
              <w:r w:rsidR="000F6E52" w:rsidRPr="00EC1DA4">
                <w:rPr>
                  <w:rStyle w:val="Collegamentoipertestuale"/>
                  <w:rFonts w:eastAsia="Times New Roman" w:cstheme="minorHAnsi"/>
                  <w:sz w:val="20"/>
                  <w:lang w:val="en-GB" w:eastAsia="it-IT"/>
                </w:rPr>
                <w:t>CiboUSA</w:t>
              </w:r>
            </w:hyperlink>
          </w:p>
        </w:tc>
        <w:tc>
          <w:tcPr>
            <w:tcW w:w="58" w:type="pct"/>
            <w:tcBorders>
              <w:top w:val="single" w:sz="4" w:space="0" w:color="auto"/>
              <w:left w:val="nil"/>
              <w:right w:val="nil"/>
            </w:tcBorders>
            <w:shd w:val="clear" w:color="auto" w:fill="auto"/>
            <w:noWrap/>
            <w:vAlign w:val="bottom"/>
            <w:hideMark/>
          </w:tcPr>
          <w:p w14:paraId="147BF3AF" w14:textId="55F73D0E" w:rsidR="000F6E52" w:rsidRPr="00A82D5C" w:rsidRDefault="000F6E52" w:rsidP="00C96891">
            <w:pPr>
              <w:spacing w:after="0" w:line="240" w:lineRule="auto"/>
              <w:rPr>
                <w:rFonts w:eastAsia="Times New Roman" w:cstheme="minorHAnsi"/>
                <w:i/>
                <w:iCs/>
                <w:color w:val="000000"/>
                <w:sz w:val="20"/>
                <w:lang w:val="en-GB" w:eastAsia="it-IT"/>
              </w:rPr>
            </w:pPr>
          </w:p>
        </w:tc>
        <w:tc>
          <w:tcPr>
            <w:tcW w:w="868" w:type="pct"/>
            <w:tcBorders>
              <w:top w:val="single" w:sz="4" w:space="0" w:color="auto"/>
              <w:left w:val="nil"/>
              <w:right w:val="nil"/>
            </w:tcBorders>
            <w:shd w:val="clear" w:color="auto" w:fill="auto"/>
            <w:noWrap/>
            <w:vAlign w:val="bottom"/>
            <w:hideMark/>
          </w:tcPr>
          <w:p w14:paraId="72403BC4" w14:textId="7E8A29C4" w:rsidR="000F6E52" w:rsidRPr="00A82D5C" w:rsidRDefault="000F6E52" w:rsidP="00C96891">
            <w:pPr>
              <w:spacing w:after="0" w:line="240" w:lineRule="auto"/>
              <w:rPr>
                <w:rFonts w:eastAsia="Times New Roman" w:cstheme="minorHAnsi"/>
                <w:sz w:val="20"/>
                <w:lang w:val="en-GB" w:eastAsia="it-IT"/>
              </w:rPr>
            </w:pPr>
            <w:r w:rsidRPr="00C96891">
              <w:rPr>
                <w:rFonts w:eastAsia="Times New Roman" w:cstheme="minorHAnsi"/>
                <w:sz w:val="20"/>
                <w:lang w:val="en-GB" w:eastAsia="it-IT"/>
              </w:rPr>
              <w:t>Brands</w:t>
            </w:r>
          </w:p>
        </w:tc>
        <w:tc>
          <w:tcPr>
            <w:tcW w:w="662" w:type="pct"/>
            <w:tcBorders>
              <w:top w:val="single" w:sz="4" w:space="0" w:color="auto"/>
              <w:left w:val="nil"/>
              <w:right w:val="nil"/>
            </w:tcBorders>
            <w:shd w:val="clear" w:color="auto" w:fill="auto"/>
            <w:noWrap/>
            <w:vAlign w:val="bottom"/>
            <w:hideMark/>
          </w:tcPr>
          <w:p w14:paraId="2541BB13" w14:textId="669E4C75" w:rsidR="000F6E52" w:rsidRPr="00A82D5C" w:rsidRDefault="000F6E52" w:rsidP="00C96891">
            <w:pPr>
              <w:spacing w:after="0" w:line="240" w:lineRule="auto"/>
              <w:rPr>
                <w:rFonts w:eastAsia="Times New Roman" w:cstheme="minorHAnsi"/>
                <w:sz w:val="20"/>
                <w:lang w:val="en-GB" w:eastAsia="it-IT"/>
              </w:rPr>
            </w:pPr>
            <w:r w:rsidRPr="00C96891">
              <w:rPr>
                <w:rFonts w:eastAsia="Times New Roman" w:cstheme="minorHAnsi"/>
                <w:sz w:val="20"/>
                <w:lang w:val="en-GB" w:eastAsia="it-IT"/>
              </w:rPr>
              <w:t>Profit</w:t>
            </w:r>
          </w:p>
        </w:tc>
        <w:tc>
          <w:tcPr>
            <w:tcW w:w="912" w:type="pct"/>
            <w:tcBorders>
              <w:top w:val="single" w:sz="4" w:space="0" w:color="auto"/>
              <w:left w:val="nil"/>
              <w:right w:val="nil"/>
            </w:tcBorders>
            <w:shd w:val="clear" w:color="auto" w:fill="auto"/>
            <w:noWrap/>
            <w:vAlign w:val="bottom"/>
            <w:hideMark/>
          </w:tcPr>
          <w:p w14:paraId="14CD1936" w14:textId="49A5ADB9" w:rsidR="000F6E52" w:rsidRPr="00A82D5C" w:rsidRDefault="00056807" w:rsidP="00C96891">
            <w:pPr>
              <w:spacing w:after="0" w:line="240" w:lineRule="auto"/>
              <w:rPr>
                <w:rFonts w:eastAsia="Times New Roman" w:cstheme="minorHAnsi"/>
                <w:sz w:val="20"/>
                <w:lang w:val="en-GB" w:eastAsia="it-IT"/>
              </w:rPr>
            </w:pPr>
            <w:hyperlink r:id="rId31" w:history="1">
              <w:r w:rsidR="00EC1DA4" w:rsidRPr="00EC1DA4">
                <w:rPr>
                  <w:rStyle w:val="Collegamentoipertestuale"/>
                  <w:rFonts w:eastAsia="Times New Roman" w:cstheme="minorHAnsi"/>
                  <w:sz w:val="20"/>
                  <w:lang w:val="en-GB" w:eastAsia="it-IT"/>
                </w:rPr>
                <w:t>The Oriental Mart</w:t>
              </w:r>
            </w:hyperlink>
          </w:p>
        </w:tc>
      </w:tr>
      <w:tr w:rsidR="006126AC" w:rsidRPr="00C96891" w14:paraId="1A6CB3FE" w14:textId="77777777" w:rsidTr="00FD1374">
        <w:trPr>
          <w:trHeight w:val="340"/>
          <w:jc w:val="center"/>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711DD4CA" w14:textId="77777777" w:rsidR="000F6E52" w:rsidRPr="00A82D5C" w:rsidRDefault="000F6E52" w:rsidP="00C96891">
            <w:pPr>
              <w:spacing w:after="0" w:line="240" w:lineRule="auto"/>
              <w:rPr>
                <w:rFonts w:eastAsia="Times New Roman" w:cstheme="minorHAnsi"/>
                <w:b/>
                <w:bCs/>
                <w:color w:val="000000"/>
                <w:sz w:val="20"/>
                <w:lang w:val="en-GB" w:eastAsia="it-IT"/>
              </w:rPr>
            </w:pPr>
          </w:p>
        </w:tc>
        <w:tc>
          <w:tcPr>
            <w:tcW w:w="747" w:type="pct"/>
            <w:tcBorders>
              <w:top w:val="nil"/>
              <w:left w:val="single" w:sz="4" w:space="0" w:color="auto"/>
              <w:bottom w:val="single" w:sz="4" w:space="0" w:color="auto"/>
              <w:right w:val="nil"/>
            </w:tcBorders>
            <w:shd w:val="clear" w:color="auto" w:fill="auto"/>
            <w:noWrap/>
            <w:vAlign w:val="bottom"/>
            <w:hideMark/>
          </w:tcPr>
          <w:p w14:paraId="20794B76" w14:textId="013E47CA" w:rsidR="000F6E52" w:rsidRPr="00A82D5C" w:rsidRDefault="000F6E52" w:rsidP="00C96891">
            <w:pPr>
              <w:spacing w:after="0" w:line="240" w:lineRule="auto"/>
              <w:rPr>
                <w:rFonts w:eastAsia="Times New Roman" w:cstheme="minorHAnsi"/>
                <w:i/>
                <w:iCs/>
                <w:color w:val="000000"/>
                <w:sz w:val="20"/>
                <w:lang w:val="en-GB" w:eastAsia="it-IT"/>
              </w:rPr>
            </w:pPr>
            <w:r w:rsidRPr="00C96891">
              <w:rPr>
                <w:rFonts w:eastAsia="Times New Roman" w:cstheme="minorHAnsi"/>
                <w:i/>
                <w:iCs/>
                <w:color w:val="000000"/>
                <w:sz w:val="20"/>
                <w:lang w:val="en-GB" w:eastAsia="it-IT"/>
              </w:rPr>
              <w:t>Multi-</w:t>
            </w:r>
            <w:r w:rsidRPr="00A82D5C">
              <w:rPr>
                <w:rFonts w:eastAsia="Times New Roman" w:cstheme="minorHAnsi"/>
                <w:i/>
                <w:iCs/>
                <w:color w:val="000000"/>
                <w:sz w:val="20"/>
                <w:lang w:val="en-GB" w:eastAsia="it-IT"/>
              </w:rPr>
              <w:t>products</w:t>
            </w:r>
          </w:p>
        </w:tc>
        <w:tc>
          <w:tcPr>
            <w:tcW w:w="655" w:type="pct"/>
            <w:tcBorders>
              <w:top w:val="nil"/>
              <w:left w:val="nil"/>
              <w:bottom w:val="single" w:sz="4" w:space="0" w:color="auto"/>
              <w:right w:val="nil"/>
            </w:tcBorders>
            <w:vAlign w:val="bottom"/>
          </w:tcPr>
          <w:p w14:paraId="5539FE95" w14:textId="6CA8D4E1" w:rsidR="000F6E52" w:rsidRPr="00A82D5C" w:rsidRDefault="00056807" w:rsidP="00C96891">
            <w:pPr>
              <w:spacing w:after="0" w:line="240" w:lineRule="auto"/>
              <w:rPr>
                <w:rFonts w:eastAsia="Times New Roman" w:cstheme="minorHAnsi"/>
                <w:i/>
                <w:iCs/>
                <w:color w:val="000000"/>
                <w:sz w:val="20"/>
                <w:lang w:val="en-GB" w:eastAsia="it-IT"/>
              </w:rPr>
            </w:pPr>
            <w:hyperlink r:id="rId32" w:history="1">
              <w:r w:rsidR="000F6E52" w:rsidRPr="00EC1DA4">
                <w:rPr>
                  <w:rStyle w:val="Collegamentoipertestuale"/>
                  <w:rFonts w:eastAsia="Times New Roman" w:cstheme="minorHAnsi"/>
                  <w:sz w:val="20"/>
                  <w:lang w:val="en-GB" w:eastAsia="it-IT"/>
                </w:rPr>
                <w:t>Amazon pantry</w:t>
              </w:r>
            </w:hyperlink>
          </w:p>
        </w:tc>
        <w:tc>
          <w:tcPr>
            <w:tcW w:w="58" w:type="pct"/>
            <w:tcBorders>
              <w:top w:val="nil"/>
              <w:left w:val="nil"/>
              <w:bottom w:val="single" w:sz="4" w:space="0" w:color="auto"/>
              <w:right w:val="nil"/>
            </w:tcBorders>
            <w:shd w:val="clear" w:color="auto" w:fill="auto"/>
            <w:noWrap/>
            <w:vAlign w:val="bottom"/>
            <w:hideMark/>
          </w:tcPr>
          <w:p w14:paraId="6850ADEE" w14:textId="32251F99" w:rsidR="000F6E52" w:rsidRPr="00A82D5C" w:rsidRDefault="000F6E52" w:rsidP="00C96891">
            <w:pPr>
              <w:spacing w:after="0" w:line="240" w:lineRule="auto"/>
              <w:rPr>
                <w:rFonts w:eastAsia="Times New Roman" w:cstheme="minorHAnsi"/>
                <w:i/>
                <w:iCs/>
                <w:color w:val="000000"/>
                <w:sz w:val="20"/>
                <w:lang w:val="en-GB" w:eastAsia="it-IT"/>
              </w:rPr>
            </w:pPr>
          </w:p>
        </w:tc>
        <w:tc>
          <w:tcPr>
            <w:tcW w:w="868" w:type="pct"/>
            <w:tcBorders>
              <w:top w:val="nil"/>
              <w:left w:val="nil"/>
              <w:bottom w:val="single" w:sz="4" w:space="0" w:color="auto"/>
              <w:right w:val="nil"/>
            </w:tcBorders>
            <w:shd w:val="clear" w:color="auto" w:fill="auto"/>
            <w:noWrap/>
            <w:vAlign w:val="bottom"/>
            <w:hideMark/>
          </w:tcPr>
          <w:p w14:paraId="7A2D68E9" w14:textId="3759C482" w:rsidR="000F6E52" w:rsidRPr="00A82D5C" w:rsidRDefault="000F6E52" w:rsidP="00C96891">
            <w:pPr>
              <w:spacing w:after="0" w:line="240" w:lineRule="auto"/>
              <w:rPr>
                <w:rFonts w:eastAsia="Times New Roman" w:cstheme="minorHAnsi"/>
                <w:sz w:val="20"/>
                <w:lang w:val="en-GB" w:eastAsia="it-IT"/>
              </w:rPr>
            </w:pPr>
            <w:r w:rsidRPr="00C96891">
              <w:rPr>
                <w:rFonts w:eastAsia="Times New Roman" w:cstheme="minorHAnsi"/>
                <w:sz w:val="20"/>
                <w:lang w:val="en-GB" w:eastAsia="it-IT"/>
              </w:rPr>
              <w:t>Brands and/or producers</w:t>
            </w:r>
          </w:p>
        </w:tc>
        <w:tc>
          <w:tcPr>
            <w:tcW w:w="662" w:type="pct"/>
            <w:tcBorders>
              <w:top w:val="nil"/>
              <w:left w:val="nil"/>
              <w:bottom w:val="single" w:sz="4" w:space="0" w:color="auto"/>
              <w:right w:val="nil"/>
            </w:tcBorders>
            <w:shd w:val="clear" w:color="auto" w:fill="auto"/>
            <w:noWrap/>
            <w:vAlign w:val="bottom"/>
            <w:hideMark/>
          </w:tcPr>
          <w:p w14:paraId="3B1EB09A" w14:textId="33A96665" w:rsidR="000F6E52" w:rsidRPr="00A82D5C" w:rsidRDefault="000F6E52" w:rsidP="00C96891">
            <w:pPr>
              <w:spacing w:after="0" w:line="240" w:lineRule="auto"/>
              <w:rPr>
                <w:rFonts w:eastAsia="Times New Roman" w:cstheme="minorHAnsi"/>
                <w:sz w:val="20"/>
                <w:lang w:val="en-GB" w:eastAsia="it-IT"/>
              </w:rPr>
            </w:pPr>
            <w:r w:rsidRPr="00C96891">
              <w:rPr>
                <w:rFonts w:eastAsia="Times New Roman" w:cstheme="minorHAnsi"/>
                <w:sz w:val="20"/>
                <w:lang w:val="en-GB" w:eastAsia="it-IT"/>
              </w:rPr>
              <w:t>Profit</w:t>
            </w:r>
          </w:p>
        </w:tc>
        <w:tc>
          <w:tcPr>
            <w:tcW w:w="912" w:type="pct"/>
            <w:tcBorders>
              <w:top w:val="nil"/>
              <w:left w:val="nil"/>
              <w:bottom w:val="single" w:sz="4" w:space="0" w:color="auto"/>
              <w:right w:val="nil"/>
            </w:tcBorders>
            <w:shd w:val="clear" w:color="auto" w:fill="auto"/>
            <w:noWrap/>
            <w:vAlign w:val="bottom"/>
            <w:hideMark/>
          </w:tcPr>
          <w:p w14:paraId="19B045A6" w14:textId="01747169" w:rsidR="000F6E52" w:rsidRPr="00A82D5C" w:rsidRDefault="00056807" w:rsidP="00C96891">
            <w:pPr>
              <w:spacing w:after="0" w:line="240" w:lineRule="auto"/>
              <w:rPr>
                <w:rFonts w:eastAsia="Times New Roman" w:cstheme="minorHAnsi"/>
                <w:sz w:val="20"/>
                <w:lang w:val="en-GB" w:eastAsia="it-IT"/>
              </w:rPr>
            </w:pPr>
            <w:hyperlink r:id="rId33" w:history="1">
              <w:r w:rsidR="006126AC" w:rsidRPr="00EC1DA4">
                <w:rPr>
                  <w:rStyle w:val="Collegamentoipertestuale"/>
                  <w:rFonts w:eastAsia="Times New Roman" w:cstheme="minorHAnsi"/>
                  <w:sz w:val="20"/>
                  <w:lang w:val="en-GB" w:eastAsia="it-IT"/>
                </w:rPr>
                <w:t>Primo Taglio</w:t>
              </w:r>
            </w:hyperlink>
          </w:p>
        </w:tc>
      </w:tr>
      <w:tr w:rsidR="006126AC" w:rsidRPr="00C96891" w14:paraId="38E4AEFE" w14:textId="77777777" w:rsidTr="00FD1374">
        <w:trPr>
          <w:trHeight w:val="340"/>
          <w:jc w:val="center"/>
        </w:trPr>
        <w:tc>
          <w:tcPr>
            <w:tcW w:w="10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1E413" w14:textId="77777777" w:rsidR="000F6E52" w:rsidRPr="00A82D5C" w:rsidRDefault="000F6E52" w:rsidP="00C96891">
            <w:pPr>
              <w:spacing w:after="0" w:line="240" w:lineRule="auto"/>
              <w:jc w:val="center"/>
              <w:rPr>
                <w:rFonts w:eastAsia="Times New Roman" w:cstheme="minorHAnsi"/>
                <w:b/>
                <w:bCs/>
                <w:color w:val="000000"/>
                <w:sz w:val="20"/>
                <w:lang w:val="en-GB" w:eastAsia="it-IT"/>
              </w:rPr>
            </w:pPr>
            <w:r w:rsidRPr="00A82D5C">
              <w:rPr>
                <w:rFonts w:eastAsia="Times New Roman" w:cstheme="minorHAnsi"/>
                <w:b/>
                <w:bCs/>
                <w:color w:val="000000"/>
                <w:sz w:val="20"/>
                <w:lang w:val="en-GB" w:eastAsia="it-IT"/>
              </w:rPr>
              <w:t>Alternative food networks</w:t>
            </w:r>
          </w:p>
        </w:tc>
        <w:tc>
          <w:tcPr>
            <w:tcW w:w="747" w:type="pct"/>
            <w:tcBorders>
              <w:top w:val="single" w:sz="4" w:space="0" w:color="auto"/>
              <w:left w:val="single" w:sz="4" w:space="0" w:color="auto"/>
              <w:bottom w:val="nil"/>
              <w:right w:val="nil"/>
            </w:tcBorders>
            <w:shd w:val="clear" w:color="auto" w:fill="auto"/>
            <w:noWrap/>
            <w:vAlign w:val="bottom"/>
            <w:hideMark/>
          </w:tcPr>
          <w:p w14:paraId="15D78DB6" w14:textId="3E706B23" w:rsidR="000F6E52" w:rsidRPr="00A82D5C" w:rsidRDefault="000F6E52" w:rsidP="00C96891">
            <w:pPr>
              <w:spacing w:after="0" w:line="240" w:lineRule="auto"/>
              <w:rPr>
                <w:rFonts w:eastAsia="Times New Roman" w:cstheme="minorHAnsi"/>
                <w:i/>
                <w:iCs/>
                <w:color w:val="000000"/>
                <w:sz w:val="20"/>
                <w:lang w:val="en-GB" w:eastAsia="it-IT"/>
              </w:rPr>
            </w:pPr>
            <w:r w:rsidRPr="00A82D5C">
              <w:rPr>
                <w:rFonts w:eastAsia="Times New Roman" w:cstheme="minorHAnsi"/>
                <w:i/>
                <w:iCs/>
                <w:color w:val="000000"/>
                <w:sz w:val="20"/>
                <w:lang w:val="en-GB" w:eastAsia="it-IT"/>
              </w:rPr>
              <w:t>Direct sales</w:t>
            </w:r>
            <w:r w:rsidRPr="00C96891">
              <w:rPr>
                <w:rFonts w:eastAsia="Times New Roman" w:cstheme="minorHAnsi"/>
                <w:i/>
                <w:iCs/>
                <w:color w:val="000000"/>
                <w:sz w:val="20"/>
                <w:lang w:val="en-GB" w:eastAsia="it-IT"/>
              </w:rPr>
              <w:t xml:space="preserve">/ </w:t>
            </w:r>
            <w:r w:rsidRPr="00A82D5C">
              <w:rPr>
                <w:rFonts w:eastAsia="Times New Roman" w:cstheme="minorHAnsi"/>
                <w:i/>
                <w:iCs/>
                <w:color w:val="000000"/>
                <w:sz w:val="20"/>
                <w:lang w:val="en-GB" w:eastAsia="it-IT"/>
              </w:rPr>
              <w:t>SFSC</w:t>
            </w:r>
          </w:p>
        </w:tc>
        <w:tc>
          <w:tcPr>
            <w:tcW w:w="655" w:type="pct"/>
            <w:tcBorders>
              <w:top w:val="single" w:sz="4" w:space="0" w:color="auto"/>
              <w:left w:val="nil"/>
              <w:bottom w:val="nil"/>
              <w:right w:val="nil"/>
            </w:tcBorders>
            <w:vAlign w:val="bottom"/>
          </w:tcPr>
          <w:p w14:paraId="6D371CF2" w14:textId="2FC827CE" w:rsidR="000F6E52" w:rsidRPr="00A82D5C" w:rsidRDefault="00056807" w:rsidP="00C96891">
            <w:pPr>
              <w:spacing w:after="0" w:line="240" w:lineRule="auto"/>
              <w:rPr>
                <w:rFonts w:eastAsia="Times New Roman" w:cstheme="minorHAnsi"/>
                <w:i/>
                <w:iCs/>
                <w:color w:val="000000"/>
                <w:sz w:val="20"/>
                <w:lang w:val="en-GB" w:eastAsia="it-IT"/>
              </w:rPr>
            </w:pPr>
            <w:hyperlink r:id="rId34" w:history="1">
              <w:r w:rsidR="000F6E52" w:rsidRPr="00EC1DA4">
                <w:rPr>
                  <w:rStyle w:val="Collegamentoipertestuale"/>
                  <w:rFonts w:eastAsia="Times New Roman" w:cstheme="minorHAnsi"/>
                  <w:sz w:val="20"/>
                  <w:lang w:val="en-GB" w:eastAsia="it-IT"/>
                </w:rPr>
                <w:t>Biocesta del gusto</w:t>
              </w:r>
            </w:hyperlink>
          </w:p>
        </w:tc>
        <w:tc>
          <w:tcPr>
            <w:tcW w:w="58" w:type="pct"/>
            <w:tcBorders>
              <w:top w:val="single" w:sz="4" w:space="0" w:color="auto"/>
              <w:left w:val="nil"/>
              <w:bottom w:val="nil"/>
              <w:right w:val="nil"/>
            </w:tcBorders>
            <w:shd w:val="clear" w:color="auto" w:fill="auto"/>
            <w:noWrap/>
            <w:vAlign w:val="bottom"/>
            <w:hideMark/>
          </w:tcPr>
          <w:p w14:paraId="09644CAC" w14:textId="2CE87757" w:rsidR="000F6E52" w:rsidRPr="00A82D5C" w:rsidRDefault="000F6E52" w:rsidP="00C96891">
            <w:pPr>
              <w:spacing w:after="0" w:line="240" w:lineRule="auto"/>
              <w:rPr>
                <w:rFonts w:eastAsia="Times New Roman" w:cstheme="minorHAnsi"/>
                <w:i/>
                <w:iCs/>
                <w:color w:val="000000"/>
                <w:sz w:val="20"/>
                <w:lang w:val="en-GB" w:eastAsia="it-IT"/>
              </w:rPr>
            </w:pPr>
          </w:p>
        </w:tc>
        <w:tc>
          <w:tcPr>
            <w:tcW w:w="868" w:type="pct"/>
            <w:tcBorders>
              <w:top w:val="single" w:sz="4" w:space="0" w:color="auto"/>
              <w:left w:val="nil"/>
              <w:bottom w:val="nil"/>
              <w:right w:val="nil"/>
            </w:tcBorders>
            <w:shd w:val="clear" w:color="auto" w:fill="auto"/>
            <w:noWrap/>
            <w:vAlign w:val="bottom"/>
            <w:hideMark/>
          </w:tcPr>
          <w:p w14:paraId="67DE15E2" w14:textId="39E2FF9D" w:rsidR="000F6E52" w:rsidRPr="00A82D5C" w:rsidRDefault="000F6E52" w:rsidP="00C96891">
            <w:pPr>
              <w:spacing w:after="0" w:line="240" w:lineRule="auto"/>
              <w:rPr>
                <w:rFonts w:eastAsia="Times New Roman" w:cstheme="minorHAnsi"/>
                <w:sz w:val="20"/>
                <w:lang w:val="en-GB" w:eastAsia="it-IT"/>
              </w:rPr>
            </w:pPr>
            <w:r w:rsidRPr="00C96891">
              <w:rPr>
                <w:rFonts w:eastAsia="Times New Roman" w:cstheme="minorHAnsi"/>
                <w:sz w:val="20"/>
                <w:lang w:val="en-GB" w:eastAsia="it-IT"/>
              </w:rPr>
              <w:t>Producers</w:t>
            </w:r>
          </w:p>
        </w:tc>
        <w:tc>
          <w:tcPr>
            <w:tcW w:w="662" w:type="pct"/>
            <w:tcBorders>
              <w:top w:val="single" w:sz="4" w:space="0" w:color="auto"/>
              <w:left w:val="nil"/>
              <w:bottom w:val="nil"/>
              <w:right w:val="nil"/>
            </w:tcBorders>
            <w:shd w:val="clear" w:color="auto" w:fill="auto"/>
            <w:noWrap/>
            <w:vAlign w:val="bottom"/>
            <w:hideMark/>
          </w:tcPr>
          <w:p w14:paraId="4DFA702B" w14:textId="7C705743" w:rsidR="000F6E52" w:rsidRPr="00A82D5C" w:rsidRDefault="000F6E52" w:rsidP="00C96891">
            <w:pPr>
              <w:spacing w:after="0" w:line="240" w:lineRule="auto"/>
              <w:rPr>
                <w:rFonts w:eastAsia="Times New Roman" w:cstheme="minorHAnsi"/>
                <w:sz w:val="20"/>
                <w:lang w:val="en-GB" w:eastAsia="it-IT"/>
              </w:rPr>
            </w:pPr>
            <w:r w:rsidRPr="00C96891">
              <w:rPr>
                <w:rFonts w:eastAsia="Times New Roman" w:cstheme="minorHAnsi"/>
                <w:sz w:val="20"/>
                <w:lang w:val="en-GB" w:eastAsia="it-IT"/>
              </w:rPr>
              <w:t>Profit &amp; Non profit</w:t>
            </w:r>
          </w:p>
        </w:tc>
        <w:tc>
          <w:tcPr>
            <w:tcW w:w="912" w:type="pct"/>
            <w:tcBorders>
              <w:top w:val="single" w:sz="4" w:space="0" w:color="auto"/>
              <w:left w:val="nil"/>
              <w:bottom w:val="nil"/>
              <w:right w:val="nil"/>
            </w:tcBorders>
            <w:shd w:val="clear" w:color="auto" w:fill="auto"/>
            <w:noWrap/>
            <w:vAlign w:val="bottom"/>
            <w:hideMark/>
          </w:tcPr>
          <w:p w14:paraId="0A995F2B" w14:textId="44EA4800" w:rsidR="000F6E52" w:rsidRPr="00A82D5C" w:rsidRDefault="00056807" w:rsidP="00C96891">
            <w:pPr>
              <w:spacing w:after="0" w:line="240" w:lineRule="auto"/>
              <w:rPr>
                <w:rFonts w:eastAsia="Times New Roman" w:cstheme="minorHAnsi"/>
                <w:sz w:val="20"/>
                <w:lang w:val="en-GB" w:eastAsia="it-IT"/>
              </w:rPr>
            </w:pPr>
            <w:hyperlink r:id="rId35" w:history="1">
              <w:r w:rsidR="006126AC" w:rsidRPr="00EC1DA4">
                <w:rPr>
                  <w:rStyle w:val="Collegamentoipertestuale"/>
                  <w:rFonts w:eastAsia="Times New Roman" w:cstheme="minorHAnsi"/>
                  <w:sz w:val="20"/>
                  <w:lang w:val="en-GB" w:eastAsia="it-IT"/>
                </w:rPr>
                <w:t>BioExpress</w:t>
              </w:r>
            </w:hyperlink>
          </w:p>
        </w:tc>
      </w:tr>
      <w:tr w:rsidR="006126AC" w:rsidRPr="00C96891" w14:paraId="000773DD" w14:textId="77777777" w:rsidTr="00FD1374">
        <w:trPr>
          <w:trHeight w:val="300"/>
          <w:jc w:val="center"/>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381A0CDB" w14:textId="77777777" w:rsidR="000F6E52" w:rsidRPr="00A82D5C" w:rsidRDefault="000F6E52" w:rsidP="00C96891">
            <w:pPr>
              <w:spacing w:after="0" w:line="240" w:lineRule="auto"/>
              <w:rPr>
                <w:rFonts w:eastAsia="Times New Roman" w:cstheme="minorHAnsi"/>
                <w:b/>
                <w:bCs/>
                <w:color w:val="000000"/>
                <w:sz w:val="20"/>
                <w:lang w:val="en-GB" w:eastAsia="it-IT"/>
              </w:rPr>
            </w:pPr>
          </w:p>
        </w:tc>
        <w:tc>
          <w:tcPr>
            <w:tcW w:w="747" w:type="pct"/>
            <w:tcBorders>
              <w:top w:val="nil"/>
              <w:left w:val="single" w:sz="4" w:space="0" w:color="auto"/>
              <w:bottom w:val="nil"/>
              <w:right w:val="nil"/>
            </w:tcBorders>
            <w:shd w:val="clear" w:color="auto" w:fill="auto"/>
            <w:noWrap/>
            <w:vAlign w:val="bottom"/>
            <w:hideMark/>
          </w:tcPr>
          <w:p w14:paraId="5A6C0B71" w14:textId="297C39F7" w:rsidR="000F6E52" w:rsidRPr="00A82D5C" w:rsidRDefault="000F6E52" w:rsidP="00C96891">
            <w:pPr>
              <w:spacing w:after="0" w:line="240" w:lineRule="auto"/>
              <w:rPr>
                <w:rFonts w:eastAsia="Times New Roman" w:cstheme="minorHAnsi"/>
                <w:i/>
                <w:iCs/>
                <w:color w:val="000000"/>
                <w:sz w:val="20"/>
                <w:lang w:val="en-GB" w:eastAsia="it-IT"/>
              </w:rPr>
            </w:pPr>
            <w:r w:rsidRPr="00C96891">
              <w:rPr>
                <w:rFonts w:eastAsia="Times New Roman" w:cstheme="minorHAnsi"/>
                <w:i/>
                <w:iCs/>
                <w:color w:val="000000"/>
                <w:sz w:val="20"/>
                <w:lang w:val="en-GB" w:eastAsia="it-IT"/>
              </w:rPr>
              <w:t xml:space="preserve">GAS </w:t>
            </w:r>
            <w:r>
              <w:rPr>
                <w:rFonts w:eastAsia="Times New Roman" w:cstheme="minorHAnsi"/>
                <w:i/>
                <w:iCs/>
                <w:color w:val="000000"/>
                <w:sz w:val="20"/>
                <w:lang w:val="en-GB" w:eastAsia="it-IT"/>
              </w:rPr>
              <w:t>(BTE)</w:t>
            </w:r>
          </w:p>
        </w:tc>
        <w:tc>
          <w:tcPr>
            <w:tcW w:w="655" w:type="pct"/>
            <w:tcBorders>
              <w:top w:val="nil"/>
              <w:left w:val="nil"/>
              <w:bottom w:val="nil"/>
              <w:right w:val="nil"/>
            </w:tcBorders>
            <w:vAlign w:val="bottom"/>
          </w:tcPr>
          <w:p w14:paraId="1B2358B9" w14:textId="2AF19E6E" w:rsidR="000F6E52" w:rsidRPr="00A82D5C" w:rsidRDefault="00056807" w:rsidP="00C96891">
            <w:pPr>
              <w:spacing w:after="0" w:line="240" w:lineRule="auto"/>
              <w:rPr>
                <w:rFonts w:eastAsia="Times New Roman" w:cstheme="minorHAnsi"/>
                <w:i/>
                <w:iCs/>
                <w:color w:val="000000"/>
                <w:sz w:val="20"/>
                <w:lang w:val="en-GB" w:eastAsia="it-IT"/>
              </w:rPr>
            </w:pPr>
            <w:hyperlink r:id="rId36" w:history="1">
              <w:r w:rsidR="000F6E52" w:rsidRPr="00EC1DA4">
                <w:rPr>
                  <w:rStyle w:val="Collegamentoipertestuale"/>
                  <w:rFonts w:eastAsia="Times New Roman" w:cstheme="minorHAnsi"/>
                  <w:sz w:val="20"/>
                  <w:lang w:val="en-GB" w:eastAsia="it-IT"/>
                </w:rPr>
                <w:t>Alveare che dice sì</w:t>
              </w:r>
            </w:hyperlink>
          </w:p>
        </w:tc>
        <w:tc>
          <w:tcPr>
            <w:tcW w:w="58" w:type="pct"/>
            <w:tcBorders>
              <w:top w:val="nil"/>
              <w:left w:val="nil"/>
              <w:bottom w:val="nil"/>
              <w:right w:val="nil"/>
            </w:tcBorders>
            <w:shd w:val="clear" w:color="auto" w:fill="auto"/>
            <w:noWrap/>
            <w:vAlign w:val="bottom"/>
            <w:hideMark/>
          </w:tcPr>
          <w:p w14:paraId="7DFFDEBD" w14:textId="765E4FAB" w:rsidR="000F6E52" w:rsidRPr="00A82D5C" w:rsidRDefault="000F6E52" w:rsidP="00C96891">
            <w:pPr>
              <w:spacing w:after="0" w:line="240" w:lineRule="auto"/>
              <w:rPr>
                <w:rFonts w:eastAsia="Times New Roman" w:cstheme="minorHAnsi"/>
                <w:i/>
                <w:iCs/>
                <w:color w:val="000000"/>
                <w:sz w:val="20"/>
                <w:lang w:val="en-GB" w:eastAsia="it-IT"/>
              </w:rPr>
            </w:pPr>
          </w:p>
        </w:tc>
        <w:tc>
          <w:tcPr>
            <w:tcW w:w="868" w:type="pct"/>
            <w:tcBorders>
              <w:top w:val="nil"/>
              <w:left w:val="nil"/>
              <w:bottom w:val="nil"/>
              <w:right w:val="nil"/>
            </w:tcBorders>
            <w:shd w:val="clear" w:color="auto" w:fill="auto"/>
            <w:noWrap/>
            <w:vAlign w:val="bottom"/>
            <w:hideMark/>
          </w:tcPr>
          <w:p w14:paraId="5C11000E" w14:textId="29E00601" w:rsidR="000F6E52" w:rsidRPr="00A82D5C" w:rsidRDefault="000F6E52" w:rsidP="00C96891">
            <w:pPr>
              <w:spacing w:after="0" w:line="240" w:lineRule="auto"/>
              <w:rPr>
                <w:rFonts w:eastAsia="Times New Roman" w:cstheme="minorHAnsi"/>
                <w:sz w:val="20"/>
                <w:lang w:val="en-GB" w:eastAsia="it-IT"/>
              </w:rPr>
            </w:pPr>
            <w:r w:rsidRPr="00C96891">
              <w:rPr>
                <w:rFonts w:eastAsia="Times New Roman" w:cstheme="minorHAnsi"/>
                <w:sz w:val="20"/>
                <w:lang w:val="en-GB" w:eastAsia="it-IT"/>
              </w:rPr>
              <w:t>Producers</w:t>
            </w:r>
          </w:p>
        </w:tc>
        <w:tc>
          <w:tcPr>
            <w:tcW w:w="662" w:type="pct"/>
            <w:tcBorders>
              <w:top w:val="nil"/>
              <w:left w:val="nil"/>
              <w:bottom w:val="nil"/>
              <w:right w:val="nil"/>
            </w:tcBorders>
            <w:shd w:val="clear" w:color="auto" w:fill="auto"/>
            <w:noWrap/>
            <w:vAlign w:val="bottom"/>
            <w:hideMark/>
          </w:tcPr>
          <w:p w14:paraId="133BFB9F" w14:textId="04D245A5" w:rsidR="000F6E52" w:rsidRPr="00A82D5C" w:rsidRDefault="000F6E52" w:rsidP="00C96891">
            <w:pPr>
              <w:spacing w:after="0" w:line="240" w:lineRule="auto"/>
              <w:rPr>
                <w:rFonts w:eastAsia="Times New Roman" w:cstheme="minorHAnsi"/>
                <w:sz w:val="20"/>
                <w:lang w:val="en-GB" w:eastAsia="it-IT"/>
              </w:rPr>
            </w:pPr>
            <w:r w:rsidRPr="00C96891">
              <w:rPr>
                <w:rFonts w:eastAsia="Times New Roman" w:cstheme="minorHAnsi"/>
                <w:sz w:val="20"/>
                <w:lang w:val="en-GB" w:eastAsia="it-IT"/>
              </w:rPr>
              <w:t>Non profit</w:t>
            </w:r>
          </w:p>
        </w:tc>
        <w:tc>
          <w:tcPr>
            <w:tcW w:w="912" w:type="pct"/>
            <w:tcBorders>
              <w:top w:val="nil"/>
              <w:left w:val="nil"/>
              <w:bottom w:val="nil"/>
              <w:right w:val="nil"/>
            </w:tcBorders>
            <w:shd w:val="clear" w:color="auto" w:fill="auto"/>
            <w:noWrap/>
            <w:vAlign w:val="bottom"/>
            <w:hideMark/>
          </w:tcPr>
          <w:p w14:paraId="600D79D3" w14:textId="13496F57" w:rsidR="000F6E52" w:rsidRPr="00A82D5C" w:rsidRDefault="00056807" w:rsidP="00C96891">
            <w:pPr>
              <w:spacing w:after="0" w:line="240" w:lineRule="auto"/>
              <w:rPr>
                <w:rFonts w:eastAsia="Times New Roman" w:cstheme="minorHAnsi"/>
                <w:sz w:val="20"/>
                <w:lang w:val="en-GB" w:eastAsia="it-IT"/>
              </w:rPr>
            </w:pPr>
            <w:hyperlink r:id="rId37" w:history="1">
              <w:r w:rsidR="006126AC" w:rsidRPr="00EC1DA4">
                <w:rPr>
                  <w:rStyle w:val="Collegamentoipertestuale"/>
                  <w:rFonts w:eastAsia="Times New Roman" w:cstheme="minorHAnsi"/>
                  <w:sz w:val="20"/>
                  <w:lang w:val="en-GB" w:eastAsia="it-IT"/>
                </w:rPr>
                <w:t>Peso Netto</w:t>
              </w:r>
            </w:hyperlink>
          </w:p>
        </w:tc>
      </w:tr>
      <w:tr w:rsidR="006126AC" w:rsidRPr="00C96891" w14:paraId="64671BB8" w14:textId="77777777" w:rsidTr="00FD1374">
        <w:trPr>
          <w:trHeight w:val="300"/>
          <w:jc w:val="center"/>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38F4A174" w14:textId="77777777" w:rsidR="000F6E52" w:rsidRPr="00A82D5C" w:rsidRDefault="000F6E52" w:rsidP="00C96891">
            <w:pPr>
              <w:spacing w:after="0" w:line="240" w:lineRule="auto"/>
              <w:rPr>
                <w:rFonts w:eastAsia="Times New Roman" w:cstheme="minorHAnsi"/>
                <w:b/>
                <w:bCs/>
                <w:color w:val="000000"/>
                <w:sz w:val="20"/>
                <w:lang w:val="en-GB" w:eastAsia="it-IT"/>
              </w:rPr>
            </w:pPr>
          </w:p>
        </w:tc>
        <w:tc>
          <w:tcPr>
            <w:tcW w:w="747" w:type="pct"/>
            <w:tcBorders>
              <w:top w:val="nil"/>
              <w:left w:val="single" w:sz="4" w:space="0" w:color="auto"/>
              <w:bottom w:val="single" w:sz="4" w:space="0" w:color="auto"/>
              <w:right w:val="nil"/>
            </w:tcBorders>
            <w:shd w:val="clear" w:color="auto" w:fill="auto"/>
            <w:noWrap/>
            <w:vAlign w:val="bottom"/>
            <w:hideMark/>
          </w:tcPr>
          <w:p w14:paraId="1BE2B384" w14:textId="77777777" w:rsidR="000F6E52" w:rsidRPr="00A82D5C" w:rsidRDefault="000F6E52" w:rsidP="00C96891">
            <w:pPr>
              <w:spacing w:after="0" w:line="240" w:lineRule="auto"/>
              <w:rPr>
                <w:rFonts w:eastAsia="Times New Roman" w:cstheme="minorHAnsi"/>
                <w:i/>
                <w:iCs/>
                <w:color w:val="000000"/>
                <w:sz w:val="20"/>
                <w:lang w:val="en-GB" w:eastAsia="it-IT"/>
              </w:rPr>
            </w:pPr>
            <w:r w:rsidRPr="00A82D5C">
              <w:rPr>
                <w:rFonts w:eastAsia="Times New Roman" w:cstheme="minorHAnsi"/>
                <w:i/>
                <w:iCs/>
                <w:color w:val="000000"/>
                <w:sz w:val="20"/>
                <w:lang w:val="en-GB" w:eastAsia="it-IT"/>
              </w:rPr>
              <w:t>Networking</w:t>
            </w:r>
          </w:p>
        </w:tc>
        <w:tc>
          <w:tcPr>
            <w:tcW w:w="655" w:type="pct"/>
            <w:tcBorders>
              <w:top w:val="nil"/>
              <w:left w:val="nil"/>
              <w:bottom w:val="single" w:sz="4" w:space="0" w:color="auto"/>
              <w:right w:val="nil"/>
            </w:tcBorders>
            <w:vAlign w:val="bottom"/>
          </w:tcPr>
          <w:p w14:paraId="06D2E80B" w14:textId="6B8129A4" w:rsidR="000F6E52" w:rsidRPr="00A82D5C" w:rsidRDefault="00056807" w:rsidP="00C96891">
            <w:pPr>
              <w:spacing w:after="0" w:line="240" w:lineRule="auto"/>
              <w:rPr>
                <w:rFonts w:eastAsia="Times New Roman" w:cstheme="minorHAnsi"/>
                <w:i/>
                <w:iCs/>
                <w:color w:val="000000"/>
                <w:sz w:val="20"/>
                <w:lang w:val="en-GB" w:eastAsia="it-IT"/>
              </w:rPr>
            </w:pPr>
            <w:hyperlink r:id="rId38" w:history="1">
              <w:r w:rsidR="000F6E52" w:rsidRPr="00EC1DA4">
                <w:rPr>
                  <w:rStyle w:val="Collegamentoipertestuale"/>
                  <w:rFonts w:eastAsia="Times New Roman" w:cstheme="minorHAnsi"/>
                  <w:sz w:val="20"/>
                  <w:lang w:val="en-GB" w:eastAsia="it-IT"/>
                </w:rPr>
                <w:t>Cortilia</w:t>
              </w:r>
            </w:hyperlink>
          </w:p>
        </w:tc>
        <w:tc>
          <w:tcPr>
            <w:tcW w:w="58" w:type="pct"/>
            <w:tcBorders>
              <w:top w:val="nil"/>
              <w:left w:val="nil"/>
              <w:bottom w:val="single" w:sz="4" w:space="0" w:color="auto"/>
              <w:right w:val="nil"/>
            </w:tcBorders>
            <w:shd w:val="clear" w:color="auto" w:fill="auto"/>
            <w:noWrap/>
            <w:vAlign w:val="bottom"/>
            <w:hideMark/>
          </w:tcPr>
          <w:p w14:paraId="630D7DEE" w14:textId="360F5F97" w:rsidR="000F6E52" w:rsidRPr="00A82D5C" w:rsidRDefault="000F6E52" w:rsidP="00C96891">
            <w:pPr>
              <w:spacing w:after="0" w:line="240" w:lineRule="auto"/>
              <w:rPr>
                <w:rFonts w:eastAsia="Times New Roman" w:cstheme="minorHAnsi"/>
                <w:i/>
                <w:iCs/>
                <w:color w:val="000000"/>
                <w:sz w:val="20"/>
                <w:lang w:val="en-GB" w:eastAsia="it-IT"/>
              </w:rPr>
            </w:pPr>
          </w:p>
        </w:tc>
        <w:tc>
          <w:tcPr>
            <w:tcW w:w="868" w:type="pct"/>
            <w:tcBorders>
              <w:top w:val="nil"/>
              <w:left w:val="nil"/>
              <w:bottom w:val="single" w:sz="4" w:space="0" w:color="auto"/>
              <w:right w:val="nil"/>
            </w:tcBorders>
            <w:shd w:val="clear" w:color="auto" w:fill="auto"/>
            <w:noWrap/>
            <w:vAlign w:val="bottom"/>
            <w:hideMark/>
          </w:tcPr>
          <w:p w14:paraId="17A50F65" w14:textId="1851DE68" w:rsidR="000F6E52" w:rsidRPr="00A82D5C" w:rsidRDefault="000F6E52" w:rsidP="00C96891">
            <w:pPr>
              <w:spacing w:after="0" w:line="240" w:lineRule="auto"/>
              <w:rPr>
                <w:rFonts w:eastAsia="Times New Roman" w:cstheme="minorHAnsi"/>
                <w:sz w:val="20"/>
                <w:lang w:val="en-GB" w:eastAsia="it-IT"/>
              </w:rPr>
            </w:pPr>
            <w:r w:rsidRPr="00C96891">
              <w:rPr>
                <w:rFonts w:eastAsia="Times New Roman" w:cstheme="minorHAnsi"/>
                <w:sz w:val="20"/>
                <w:lang w:val="en-GB" w:eastAsia="it-IT"/>
              </w:rPr>
              <w:t>Producers</w:t>
            </w:r>
          </w:p>
        </w:tc>
        <w:tc>
          <w:tcPr>
            <w:tcW w:w="662" w:type="pct"/>
            <w:tcBorders>
              <w:top w:val="nil"/>
              <w:left w:val="nil"/>
              <w:bottom w:val="single" w:sz="4" w:space="0" w:color="auto"/>
              <w:right w:val="nil"/>
            </w:tcBorders>
            <w:shd w:val="clear" w:color="auto" w:fill="auto"/>
            <w:noWrap/>
            <w:vAlign w:val="bottom"/>
            <w:hideMark/>
          </w:tcPr>
          <w:p w14:paraId="324C59CD" w14:textId="511CEE26" w:rsidR="000F6E52" w:rsidRPr="00A82D5C" w:rsidRDefault="000F6E52" w:rsidP="00C96891">
            <w:pPr>
              <w:spacing w:after="0" w:line="240" w:lineRule="auto"/>
              <w:rPr>
                <w:rFonts w:eastAsia="Times New Roman" w:cstheme="minorHAnsi"/>
                <w:sz w:val="20"/>
                <w:lang w:val="en-GB" w:eastAsia="it-IT"/>
              </w:rPr>
            </w:pPr>
            <w:r w:rsidRPr="00C96891">
              <w:rPr>
                <w:rFonts w:eastAsia="Times New Roman" w:cstheme="minorHAnsi"/>
                <w:sz w:val="20"/>
                <w:lang w:val="en-GB" w:eastAsia="it-IT"/>
              </w:rPr>
              <w:t xml:space="preserve">Profit </w:t>
            </w:r>
          </w:p>
        </w:tc>
        <w:tc>
          <w:tcPr>
            <w:tcW w:w="912" w:type="pct"/>
            <w:tcBorders>
              <w:top w:val="nil"/>
              <w:left w:val="nil"/>
              <w:bottom w:val="single" w:sz="4" w:space="0" w:color="auto"/>
              <w:right w:val="nil"/>
            </w:tcBorders>
            <w:shd w:val="clear" w:color="auto" w:fill="auto"/>
            <w:noWrap/>
            <w:vAlign w:val="bottom"/>
            <w:hideMark/>
          </w:tcPr>
          <w:p w14:paraId="1972CE75" w14:textId="4BAAB969" w:rsidR="000F6E52" w:rsidRPr="00A82D5C" w:rsidRDefault="00056807" w:rsidP="0049616D">
            <w:pPr>
              <w:keepNext/>
              <w:spacing w:after="0" w:line="240" w:lineRule="auto"/>
              <w:rPr>
                <w:rFonts w:eastAsia="Times New Roman" w:cstheme="minorHAnsi"/>
                <w:sz w:val="20"/>
                <w:lang w:val="en-GB" w:eastAsia="it-IT"/>
              </w:rPr>
            </w:pPr>
            <w:hyperlink r:id="rId39" w:history="1">
              <w:r w:rsidR="006126AC" w:rsidRPr="00EC1DA4">
                <w:rPr>
                  <w:rStyle w:val="Collegamentoipertestuale"/>
                  <w:rFonts w:eastAsia="Times New Roman" w:cstheme="minorHAnsi"/>
                  <w:sz w:val="20"/>
                  <w:lang w:val="en-GB" w:eastAsia="it-IT"/>
                </w:rPr>
                <w:t>Egnam</w:t>
              </w:r>
            </w:hyperlink>
          </w:p>
        </w:tc>
      </w:tr>
    </w:tbl>
    <w:p w14:paraId="27F9803D" w14:textId="26F977DE" w:rsidR="00A82D5C" w:rsidRPr="00777A97" w:rsidRDefault="0049616D" w:rsidP="0049616D">
      <w:pPr>
        <w:pStyle w:val="Didascalia"/>
        <w:rPr>
          <w:rFonts w:cstheme="minorHAnsi"/>
          <w:lang w:val="en-GB"/>
        </w:rPr>
      </w:pPr>
      <w:r w:rsidRPr="0049616D">
        <w:rPr>
          <w:lang w:val="en-GB"/>
        </w:rPr>
        <w:t xml:space="preserve">Table </w:t>
      </w:r>
      <w:r>
        <w:fldChar w:fldCharType="begin"/>
      </w:r>
      <w:r w:rsidRPr="0049616D">
        <w:rPr>
          <w:lang w:val="en-GB"/>
        </w:rPr>
        <w:instrText xml:space="preserve"> SEQ Table \* ARABIC </w:instrText>
      </w:r>
      <w:r>
        <w:fldChar w:fldCharType="separate"/>
      </w:r>
      <w:r w:rsidR="00212D63">
        <w:rPr>
          <w:noProof/>
          <w:lang w:val="en-GB"/>
        </w:rPr>
        <w:t>3</w:t>
      </w:r>
      <w:r>
        <w:fldChar w:fldCharType="end"/>
      </w:r>
      <w:r w:rsidRPr="0049616D">
        <w:rPr>
          <w:lang w:val="en-GB"/>
        </w:rPr>
        <w:t xml:space="preserve">. Types of digital platforms in the food distribution sector. </w:t>
      </w:r>
    </w:p>
    <w:p w14:paraId="539EE26A" w14:textId="1E47CFC4" w:rsidR="00A82D5C" w:rsidRPr="00777A97" w:rsidRDefault="00A82D5C" w:rsidP="008E2A80">
      <w:pPr>
        <w:pStyle w:val="Paragrafoelenco"/>
        <w:spacing w:before="60" w:after="60"/>
        <w:jc w:val="both"/>
        <w:rPr>
          <w:rFonts w:cstheme="minorHAnsi"/>
          <w:lang w:val="en-GB"/>
        </w:rPr>
      </w:pPr>
    </w:p>
    <w:p w14:paraId="685B92C4" w14:textId="77777777" w:rsidR="00A82D5C" w:rsidRPr="00777A97" w:rsidRDefault="00A82D5C" w:rsidP="00A82D5C">
      <w:pPr>
        <w:pStyle w:val="Paragrafoelenco"/>
        <w:spacing w:before="60" w:after="60"/>
        <w:ind w:left="0"/>
        <w:jc w:val="both"/>
        <w:rPr>
          <w:rFonts w:cstheme="minorHAnsi"/>
          <w:lang w:val="en-GB"/>
        </w:rPr>
        <w:sectPr w:rsidR="00A82D5C" w:rsidRPr="00777A97" w:rsidSect="00A82D5C">
          <w:pgSz w:w="16838" w:h="11906" w:orient="landscape"/>
          <w:pgMar w:top="1134" w:right="1417" w:bottom="1134" w:left="1134" w:header="708" w:footer="708" w:gutter="0"/>
          <w:cols w:space="708"/>
          <w:docGrid w:linePitch="360"/>
        </w:sectPr>
      </w:pPr>
    </w:p>
    <w:p w14:paraId="39070BAC" w14:textId="575F073D" w:rsidR="00777A97" w:rsidRPr="008317F8" w:rsidRDefault="00777A97" w:rsidP="00777A97">
      <w:pPr>
        <w:pStyle w:val="Titolo2"/>
        <w:spacing w:before="60" w:after="60"/>
        <w:jc w:val="both"/>
        <w:rPr>
          <w:rFonts w:asciiTheme="minorHAnsi" w:hAnsiTheme="minorHAnsi" w:cstheme="minorHAnsi"/>
          <w:lang w:val="en-GB"/>
        </w:rPr>
      </w:pPr>
      <w:r w:rsidRPr="008317F8">
        <w:rPr>
          <w:rFonts w:asciiTheme="minorHAnsi" w:hAnsiTheme="minorHAnsi" w:cstheme="minorHAnsi"/>
          <w:lang w:val="en-GB"/>
        </w:rPr>
        <w:lastRenderedPageBreak/>
        <w:t xml:space="preserve">5. </w:t>
      </w:r>
      <w:r w:rsidR="00C4666E">
        <w:rPr>
          <w:rFonts w:asciiTheme="minorHAnsi" w:hAnsiTheme="minorHAnsi" w:cstheme="minorHAnsi"/>
          <w:lang w:val="en-GB"/>
        </w:rPr>
        <w:t>Open questions</w:t>
      </w:r>
    </w:p>
    <w:p w14:paraId="5AC09CBA" w14:textId="4175CC0B" w:rsidR="008317F8" w:rsidRDefault="00C4666E" w:rsidP="00777A97">
      <w:pPr>
        <w:spacing w:before="60" w:after="60"/>
        <w:jc w:val="both"/>
        <w:rPr>
          <w:rFonts w:cstheme="minorHAnsi"/>
          <w:lang w:val="en-GB"/>
        </w:rPr>
      </w:pPr>
      <w:r>
        <w:rPr>
          <w:rFonts w:cstheme="minorHAnsi"/>
          <w:lang w:val="en-GB"/>
        </w:rPr>
        <w:t xml:space="preserve">In the previous </w:t>
      </w:r>
      <w:r w:rsidR="000A5F13">
        <w:rPr>
          <w:rFonts w:cstheme="minorHAnsi"/>
          <w:lang w:val="en-GB"/>
        </w:rPr>
        <w:t>pages w</w:t>
      </w:r>
      <w:r>
        <w:rPr>
          <w:rFonts w:cstheme="minorHAnsi"/>
          <w:lang w:val="en-GB"/>
        </w:rPr>
        <w:t>e have proposed an initial reflection of</w:t>
      </w:r>
      <w:r w:rsidR="008317F8">
        <w:rPr>
          <w:rFonts w:cstheme="minorHAnsi"/>
          <w:lang w:val="en-GB"/>
        </w:rPr>
        <w:t xml:space="preserve"> </w:t>
      </w:r>
      <w:r>
        <w:rPr>
          <w:rFonts w:cstheme="minorHAnsi"/>
          <w:lang w:val="en-GB"/>
        </w:rPr>
        <w:t xml:space="preserve">what appear to u </w:t>
      </w:r>
      <w:r w:rsidR="008317F8">
        <w:rPr>
          <w:rFonts w:cstheme="minorHAnsi"/>
          <w:lang w:val="en-GB"/>
        </w:rPr>
        <w:t xml:space="preserve">some relevant aspects of the Italian food </w:t>
      </w:r>
      <w:r w:rsidR="00FC34E5">
        <w:rPr>
          <w:rFonts w:cstheme="minorHAnsi"/>
          <w:lang w:val="en-GB"/>
        </w:rPr>
        <w:t>sector</w:t>
      </w:r>
      <w:r w:rsidR="008317F8">
        <w:rPr>
          <w:rFonts w:cstheme="minorHAnsi"/>
          <w:lang w:val="en-GB"/>
        </w:rPr>
        <w:t>. In light of next WPs</w:t>
      </w:r>
      <w:r w:rsidR="00FC34E5">
        <w:rPr>
          <w:rFonts w:cstheme="minorHAnsi"/>
          <w:lang w:val="en-GB"/>
        </w:rPr>
        <w:t xml:space="preserve">, </w:t>
      </w:r>
      <w:r>
        <w:rPr>
          <w:rFonts w:cstheme="minorHAnsi"/>
          <w:lang w:val="en-GB"/>
        </w:rPr>
        <w:t xml:space="preserve">we think that </w:t>
      </w:r>
      <w:r w:rsidR="00492EE5">
        <w:rPr>
          <w:rFonts w:cstheme="minorHAnsi"/>
          <w:lang w:val="en-GB"/>
        </w:rPr>
        <w:t>the following issues should be considered</w:t>
      </w:r>
      <w:r w:rsidR="008317F8">
        <w:rPr>
          <w:rFonts w:cstheme="minorHAnsi"/>
          <w:lang w:val="en-GB"/>
        </w:rPr>
        <w:t xml:space="preserve">. </w:t>
      </w:r>
    </w:p>
    <w:p w14:paraId="3846063B" w14:textId="0D1FCF5F" w:rsidR="008317F8" w:rsidRPr="000A5F13" w:rsidRDefault="008317F8" w:rsidP="007B419B">
      <w:pPr>
        <w:pStyle w:val="Paragrafoelenco"/>
        <w:numPr>
          <w:ilvl w:val="0"/>
          <w:numId w:val="11"/>
        </w:numPr>
        <w:spacing w:before="60" w:after="60"/>
        <w:ind w:left="284" w:hanging="284"/>
        <w:jc w:val="both"/>
        <w:rPr>
          <w:rFonts w:cstheme="minorHAnsi"/>
          <w:lang w:val="en-GB"/>
        </w:rPr>
      </w:pPr>
      <w:r w:rsidRPr="000A5F13">
        <w:rPr>
          <w:rFonts w:cstheme="minorHAnsi"/>
          <w:lang w:val="en-GB"/>
        </w:rPr>
        <w:t xml:space="preserve">The many different typologies of </w:t>
      </w:r>
      <w:r w:rsidR="008A5132" w:rsidRPr="000A5F13">
        <w:rPr>
          <w:rFonts w:cstheme="minorHAnsi"/>
          <w:lang w:val="en-GB"/>
        </w:rPr>
        <w:t>(</w:t>
      </w:r>
      <w:r w:rsidRPr="000A5F13">
        <w:rPr>
          <w:rFonts w:cstheme="minorHAnsi"/>
          <w:lang w:val="en-GB"/>
        </w:rPr>
        <w:t>digital</w:t>
      </w:r>
      <w:r w:rsidR="008A5132" w:rsidRPr="000A5F13">
        <w:rPr>
          <w:rFonts w:cstheme="minorHAnsi"/>
          <w:lang w:val="en-GB"/>
        </w:rPr>
        <w:t>)</w:t>
      </w:r>
      <w:r w:rsidRPr="000A5F13">
        <w:rPr>
          <w:rFonts w:cstheme="minorHAnsi"/>
          <w:lang w:val="en-GB"/>
        </w:rPr>
        <w:t xml:space="preserve"> food platforms available in Italy probably indicate the necessity to agree on a more stringent set of criteria for understanding </w:t>
      </w:r>
      <w:r w:rsidR="008A5132" w:rsidRPr="000A5F13">
        <w:rPr>
          <w:rFonts w:cstheme="minorHAnsi"/>
          <w:lang w:val="en-GB"/>
        </w:rPr>
        <w:t>which are the</w:t>
      </w:r>
      <w:r w:rsidR="005A5E0B" w:rsidRPr="000A5F13">
        <w:rPr>
          <w:rFonts w:cstheme="minorHAnsi"/>
          <w:lang w:val="en-GB"/>
        </w:rPr>
        <w:t xml:space="preserve"> provision modes</w:t>
      </w:r>
      <w:r w:rsidR="00E1659A" w:rsidRPr="000A5F13">
        <w:rPr>
          <w:rFonts w:cstheme="minorHAnsi"/>
          <w:lang w:val="en-GB"/>
        </w:rPr>
        <w:t xml:space="preserve"> </w:t>
      </w:r>
      <w:r w:rsidR="008A5132" w:rsidRPr="000A5F13">
        <w:rPr>
          <w:rFonts w:cstheme="minorHAnsi"/>
          <w:lang w:val="en-GB"/>
        </w:rPr>
        <w:t>that</w:t>
      </w:r>
      <w:r w:rsidR="00E1659A" w:rsidRPr="000A5F13">
        <w:rPr>
          <w:rFonts w:cstheme="minorHAnsi"/>
          <w:lang w:val="en-GB"/>
        </w:rPr>
        <w:t xml:space="preserve"> convincingly promote a sustainable diet.</w:t>
      </w:r>
      <w:r w:rsidR="008A5132" w:rsidRPr="000A5F13">
        <w:rPr>
          <w:rFonts w:cstheme="minorHAnsi"/>
          <w:lang w:val="en-GB"/>
        </w:rPr>
        <w:t xml:space="preserve"> For instance,</w:t>
      </w:r>
      <w:r w:rsidR="00E1659A" w:rsidRPr="000A5F13">
        <w:rPr>
          <w:rFonts w:cstheme="minorHAnsi"/>
          <w:lang w:val="en-GB"/>
        </w:rPr>
        <w:t xml:space="preserve"> </w:t>
      </w:r>
      <w:r w:rsidR="008A5132" w:rsidRPr="000A5F13">
        <w:rPr>
          <w:rFonts w:cstheme="minorHAnsi"/>
          <w:lang w:val="en-GB"/>
        </w:rPr>
        <w:t xml:space="preserve">the attention that many consumers are now giving to ethicality, localness and fair trade </w:t>
      </w:r>
      <w:r w:rsidR="00C32695" w:rsidRPr="000A5F13">
        <w:rPr>
          <w:rFonts w:cstheme="minorHAnsi"/>
          <w:lang w:val="en-GB"/>
        </w:rPr>
        <w:t xml:space="preserve">on food </w:t>
      </w:r>
      <w:r w:rsidR="008A5132" w:rsidRPr="000A5F13">
        <w:rPr>
          <w:rFonts w:cstheme="minorHAnsi"/>
          <w:lang w:val="en-GB"/>
        </w:rPr>
        <w:t>(</w:t>
      </w:r>
      <w:r w:rsidR="005A5E0B" w:rsidRPr="000A5F13">
        <w:rPr>
          <w:rFonts w:ascii="Arial" w:hAnsi="Arial" w:cs="Arial"/>
          <w:color w:val="222222"/>
          <w:sz w:val="20"/>
          <w:szCs w:val="20"/>
          <w:lang w:val="en-GB"/>
        </w:rPr>
        <w:t xml:space="preserve">McEachern &amp; Mcclean, 2002; </w:t>
      </w:r>
      <w:r w:rsidR="003F6247" w:rsidRPr="000A5F13">
        <w:rPr>
          <w:rFonts w:cstheme="minorHAnsi"/>
          <w:lang w:val="en-GB"/>
        </w:rPr>
        <w:t>Almli et al., 2011; Balogh et al., 2016</w:t>
      </w:r>
      <w:r w:rsidR="008A5132" w:rsidRPr="000A5F13">
        <w:rPr>
          <w:rFonts w:cstheme="minorHAnsi"/>
          <w:lang w:val="en-GB"/>
        </w:rPr>
        <w:t xml:space="preserve">), is pushing many companies in the mass retail channel to include products vaguely responding to </w:t>
      </w:r>
      <w:r w:rsidR="00FC34E5" w:rsidRPr="000A5F13">
        <w:rPr>
          <w:rFonts w:cstheme="minorHAnsi"/>
          <w:lang w:val="en-GB"/>
        </w:rPr>
        <w:t xml:space="preserve">these values </w:t>
      </w:r>
      <w:r w:rsidR="008A5132" w:rsidRPr="000A5F13">
        <w:rPr>
          <w:rFonts w:cstheme="minorHAnsi"/>
          <w:lang w:val="en-GB"/>
        </w:rPr>
        <w:t>in their shelves</w:t>
      </w:r>
      <w:r w:rsidR="00FC34E5" w:rsidRPr="000A5F13">
        <w:rPr>
          <w:rFonts w:cstheme="minorHAnsi"/>
          <w:lang w:val="en-GB"/>
        </w:rPr>
        <w:t xml:space="preserve"> (e.g.</w:t>
      </w:r>
      <w:r w:rsidR="00492EE5" w:rsidRPr="000A5F13">
        <w:rPr>
          <w:rFonts w:cstheme="minorHAnsi"/>
          <w:lang w:val="en-GB"/>
        </w:rPr>
        <w:t xml:space="preserve"> Coop’s ethical or local products’ lines, such as</w:t>
      </w:r>
      <w:r w:rsidR="00FC34E5" w:rsidRPr="000A5F13">
        <w:rPr>
          <w:rFonts w:cstheme="minorHAnsi"/>
          <w:lang w:val="en-GB"/>
        </w:rPr>
        <w:t xml:space="preserve"> Solidal</w:t>
      </w:r>
      <w:r w:rsidR="00492EE5" w:rsidRPr="000A5F13">
        <w:rPr>
          <w:rFonts w:cstheme="minorHAnsi"/>
          <w:lang w:val="en-GB"/>
        </w:rPr>
        <w:t xml:space="preserve"> and</w:t>
      </w:r>
      <w:r w:rsidR="00FC34E5" w:rsidRPr="000A5F13">
        <w:rPr>
          <w:rFonts w:cstheme="minorHAnsi"/>
          <w:lang w:val="en-GB"/>
        </w:rPr>
        <w:t xml:space="preserve"> Fior Fiore etc.)</w:t>
      </w:r>
      <w:r w:rsidR="008A5132" w:rsidRPr="000A5F13">
        <w:rPr>
          <w:rFonts w:cstheme="minorHAnsi"/>
          <w:lang w:val="en-GB"/>
        </w:rPr>
        <w:t xml:space="preserve">. </w:t>
      </w:r>
      <w:r w:rsidR="00FC34E5" w:rsidRPr="000A5F13">
        <w:rPr>
          <w:rFonts w:cstheme="minorHAnsi"/>
          <w:lang w:val="en-GB"/>
        </w:rPr>
        <w:t>However, c</w:t>
      </w:r>
      <w:r w:rsidR="008A5132" w:rsidRPr="000A5F13">
        <w:rPr>
          <w:rFonts w:cstheme="minorHAnsi"/>
          <w:lang w:val="en-GB"/>
        </w:rPr>
        <w:t>onsidering the concerns raised by the antitrust authority on the GDO</w:t>
      </w:r>
      <w:r w:rsidR="00FC34E5" w:rsidRPr="000A5F13">
        <w:rPr>
          <w:rFonts w:cstheme="minorHAnsi"/>
          <w:lang w:val="en-GB"/>
        </w:rPr>
        <w:t xml:space="preserve"> model, this innovation does not automatically guarantee a sustainable food supply at all levels.</w:t>
      </w:r>
      <w:r w:rsidR="00C32695" w:rsidRPr="000A5F13">
        <w:rPr>
          <w:rFonts w:cstheme="minorHAnsi"/>
          <w:lang w:val="en-GB"/>
        </w:rPr>
        <w:t xml:space="preserve"> </w:t>
      </w:r>
      <w:r w:rsidR="00D848C1" w:rsidRPr="000A5F13">
        <w:rPr>
          <w:rFonts w:cstheme="minorHAnsi"/>
          <w:lang w:val="en-GB"/>
        </w:rPr>
        <w:t xml:space="preserve">As some authors have pointed out, </w:t>
      </w:r>
      <w:r w:rsidR="00C32695" w:rsidRPr="000A5F13">
        <w:rPr>
          <w:rFonts w:cstheme="minorHAnsi"/>
          <w:lang w:val="en-GB"/>
        </w:rPr>
        <w:t xml:space="preserve">these products </w:t>
      </w:r>
      <w:r w:rsidR="00D848C1" w:rsidRPr="000A5F13">
        <w:rPr>
          <w:rFonts w:cstheme="minorHAnsi"/>
          <w:lang w:val="en-GB"/>
        </w:rPr>
        <w:t>could also be</w:t>
      </w:r>
      <w:r w:rsidR="00C32695" w:rsidRPr="000A5F13">
        <w:rPr>
          <w:rFonts w:cstheme="minorHAnsi"/>
          <w:lang w:val="en-GB"/>
        </w:rPr>
        <w:t xml:space="preserve"> </w:t>
      </w:r>
      <w:r w:rsidR="007A0546" w:rsidRPr="000A5F13">
        <w:rPr>
          <w:rFonts w:cstheme="minorHAnsi"/>
          <w:lang w:val="en-GB"/>
        </w:rPr>
        <w:t>used</w:t>
      </w:r>
      <w:r w:rsidR="00C32695" w:rsidRPr="000A5F13">
        <w:rPr>
          <w:rFonts w:cstheme="minorHAnsi"/>
          <w:lang w:val="en-GB"/>
        </w:rPr>
        <w:t xml:space="preserve"> to greenwash the corporate profile and to keep </w:t>
      </w:r>
      <w:r w:rsidR="0042085F" w:rsidRPr="000A5F13">
        <w:rPr>
          <w:rFonts w:cstheme="minorHAnsi"/>
          <w:lang w:val="en-GB"/>
        </w:rPr>
        <w:t>‘ethical’</w:t>
      </w:r>
      <w:r w:rsidR="00C32695" w:rsidRPr="000A5F13">
        <w:rPr>
          <w:rFonts w:cstheme="minorHAnsi"/>
          <w:lang w:val="en-GB"/>
        </w:rPr>
        <w:t xml:space="preserve"> customers within the stores.</w:t>
      </w:r>
      <w:r w:rsidR="00FC34E5" w:rsidRPr="000A5F13">
        <w:rPr>
          <w:rFonts w:cstheme="minorHAnsi"/>
          <w:lang w:val="en-GB"/>
        </w:rPr>
        <w:t xml:space="preserve"> On the other hand, despite the pivotal role that sustainability has on </w:t>
      </w:r>
      <w:r w:rsidR="00C32695" w:rsidRPr="000A5F13">
        <w:rPr>
          <w:rFonts w:cstheme="minorHAnsi"/>
          <w:lang w:val="en-GB"/>
        </w:rPr>
        <w:t xml:space="preserve">the supply chain of all AFN </w:t>
      </w:r>
      <w:r w:rsidR="00C32695" w:rsidRPr="000A5F13">
        <w:rPr>
          <w:rFonts w:cstheme="minorHAnsi"/>
          <w:i/>
          <w:lang w:val="en-GB"/>
        </w:rPr>
        <w:t>at all levels</w:t>
      </w:r>
      <w:r w:rsidR="00C32695" w:rsidRPr="000A5F13">
        <w:rPr>
          <w:rFonts w:cstheme="minorHAnsi"/>
          <w:lang w:val="en-GB"/>
        </w:rPr>
        <w:t>, some perverse downsides</w:t>
      </w:r>
      <w:r w:rsidR="007D3A56" w:rsidRPr="000A5F13">
        <w:rPr>
          <w:rFonts w:cstheme="minorHAnsi"/>
          <w:lang w:val="en-GB"/>
        </w:rPr>
        <w:t>, such as parochialism, localism, nostalgic essentialism,</w:t>
      </w:r>
      <w:r w:rsidR="00C32695" w:rsidRPr="000A5F13">
        <w:rPr>
          <w:rFonts w:cstheme="minorHAnsi"/>
          <w:lang w:val="en-GB"/>
        </w:rPr>
        <w:t xml:space="preserve"> should be always </w:t>
      </w:r>
      <w:r w:rsidR="007D3A56" w:rsidRPr="000A5F13">
        <w:rPr>
          <w:rFonts w:cstheme="minorHAnsi"/>
          <w:lang w:val="en-GB"/>
        </w:rPr>
        <w:t>kept in mind (Goodman, 2004; Grasseni, 2013)</w:t>
      </w:r>
      <w:r w:rsidR="003F6247" w:rsidRPr="000A5F13">
        <w:rPr>
          <w:rFonts w:cstheme="minorHAnsi"/>
          <w:lang w:val="en-GB"/>
        </w:rPr>
        <w:t xml:space="preserve">. </w:t>
      </w:r>
      <w:r w:rsidR="007D3A56" w:rsidRPr="000A5F13">
        <w:rPr>
          <w:rFonts w:cstheme="minorHAnsi"/>
          <w:lang w:val="en-GB"/>
        </w:rPr>
        <w:t xml:space="preserve"> </w:t>
      </w:r>
    </w:p>
    <w:p w14:paraId="191EB464" w14:textId="2F900D1F" w:rsidR="00D54620" w:rsidRDefault="001279BA" w:rsidP="00C32695">
      <w:pPr>
        <w:pStyle w:val="Paragrafoelenco"/>
        <w:numPr>
          <w:ilvl w:val="0"/>
          <w:numId w:val="11"/>
        </w:numPr>
        <w:spacing w:before="60" w:after="60"/>
        <w:ind w:left="284" w:hanging="284"/>
        <w:jc w:val="both"/>
        <w:rPr>
          <w:rFonts w:cstheme="minorHAnsi"/>
          <w:lang w:val="en-GB"/>
        </w:rPr>
      </w:pPr>
      <w:r>
        <w:rPr>
          <w:rFonts w:cstheme="minorHAnsi"/>
          <w:lang w:val="en-GB"/>
        </w:rPr>
        <w:t>Differences in the diffusion of digital technologies</w:t>
      </w:r>
      <w:r w:rsidR="00342296">
        <w:rPr>
          <w:rFonts w:cstheme="minorHAnsi"/>
          <w:lang w:val="en-GB"/>
        </w:rPr>
        <w:t xml:space="preserve"> and internet access</w:t>
      </w:r>
      <w:r>
        <w:rPr>
          <w:rFonts w:cstheme="minorHAnsi"/>
          <w:lang w:val="en-GB"/>
        </w:rPr>
        <w:t xml:space="preserve"> could help unveil why the (digital) food distribution sector and consumers’ use </w:t>
      </w:r>
      <w:r w:rsidR="005A5E0B">
        <w:rPr>
          <w:rFonts w:cstheme="minorHAnsi"/>
          <w:lang w:val="en-GB"/>
        </w:rPr>
        <w:t xml:space="preserve">of </w:t>
      </w:r>
      <w:r>
        <w:rPr>
          <w:rFonts w:cstheme="minorHAnsi"/>
          <w:lang w:val="en-GB"/>
        </w:rPr>
        <w:t xml:space="preserve">these services greatly vary across countries. At the same time, this should not obscure how cultural differences affect gastronomic horizons, eating practices and the organisation of </w:t>
      </w:r>
      <w:r w:rsidR="00D54620">
        <w:rPr>
          <w:rFonts w:cstheme="minorHAnsi"/>
          <w:lang w:val="en-GB"/>
        </w:rPr>
        <w:t>grocery shopping</w:t>
      </w:r>
      <w:r w:rsidR="00B21CD4">
        <w:rPr>
          <w:rFonts w:cstheme="minorHAnsi"/>
          <w:lang w:val="en-GB"/>
        </w:rPr>
        <w:t>.</w:t>
      </w:r>
      <w:r w:rsidR="003F6247">
        <w:rPr>
          <w:rFonts w:cstheme="minorHAnsi"/>
          <w:lang w:val="en-GB"/>
        </w:rPr>
        <w:t xml:space="preserve"> </w:t>
      </w:r>
      <w:r w:rsidR="00B21CD4">
        <w:rPr>
          <w:rFonts w:cstheme="minorHAnsi"/>
          <w:lang w:val="en-GB"/>
        </w:rPr>
        <w:t xml:space="preserve"> </w:t>
      </w:r>
      <w:r w:rsidR="003F6247">
        <w:rPr>
          <w:rFonts w:cstheme="minorHAnsi"/>
          <w:lang w:val="en-GB"/>
        </w:rPr>
        <w:t xml:space="preserve">What are the macro-factors that help explain cross-country variations in the development of e-food? Does the digital divide partly explain differences in the rate of e-food shopping? Does access to ICTs guarantee the development of e-food commerce? </w:t>
      </w:r>
    </w:p>
    <w:p w14:paraId="1A719AA3" w14:textId="251F5562" w:rsidR="00C32695" w:rsidRDefault="00342296" w:rsidP="00C32695">
      <w:pPr>
        <w:pStyle w:val="Paragrafoelenco"/>
        <w:numPr>
          <w:ilvl w:val="0"/>
          <w:numId w:val="11"/>
        </w:numPr>
        <w:spacing w:before="60" w:after="60"/>
        <w:ind w:left="284" w:hanging="284"/>
        <w:jc w:val="both"/>
        <w:rPr>
          <w:rFonts w:cstheme="minorHAnsi"/>
          <w:lang w:val="en-GB"/>
        </w:rPr>
      </w:pPr>
      <w:r>
        <w:rPr>
          <w:rFonts w:cstheme="minorHAnsi"/>
          <w:lang w:val="en-GB"/>
        </w:rPr>
        <w:t xml:space="preserve">The role that the petty bourgeoisie and traditional </w:t>
      </w:r>
      <w:r w:rsidR="000E012C">
        <w:rPr>
          <w:rFonts w:cstheme="minorHAnsi"/>
          <w:lang w:val="en-GB"/>
        </w:rPr>
        <w:t xml:space="preserve">food </w:t>
      </w:r>
      <w:r>
        <w:rPr>
          <w:rFonts w:cstheme="minorHAnsi"/>
          <w:lang w:val="en-GB"/>
        </w:rPr>
        <w:t xml:space="preserve">shops have in Italy is probably </w:t>
      </w:r>
      <w:r w:rsidR="00A313F1">
        <w:rPr>
          <w:rFonts w:cstheme="minorHAnsi"/>
          <w:lang w:val="en-GB"/>
        </w:rPr>
        <w:t>unique</w:t>
      </w:r>
      <w:r w:rsidR="00BE5D43">
        <w:rPr>
          <w:rFonts w:cstheme="minorHAnsi"/>
          <w:lang w:val="en-GB"/>
        </w:rPr>
        <w:t xml:space="preserve"> </w:t>
      </w:r>
      <w:r w:rsidR="00B21CD4">
        <w:rPr>
          <w:rFonts w:cstheme="minorHAnsi"/>
          <w:lang w:val="en-GB"/>
        </w:rPr>
        <w:t xml:space="preserve">among the </w:t>
      </w:r>
      <w:r w:rsidR="00BE5D43">
        <w:rPr>
          <w:rFonts w:cstheme="minorHAnsi"/>
          <w:lang w:val="en-GB"/>
        </w:rPr>
        <w:t xml:space="preserve">European </w:t>
      </w:r>
      <w:r w:rsidR="00B21CD4">
        <w:rPr>
          <w:rFonts w:cstheme="minorHAnsi"/>
          <w:lang w:val="en-GB"/>
        </w:rPr>
        <w:t>countries considered in the project.</w:t>
      </w:r>
      <w:r w:rsidR="007825FA">
        <w:rPr>
          <w:rFonts w:cstheme="minorHAnsi"/>
          <w:lang w:val="en-GB"/>
        </w:rPr>
        <w:t xml:space="preserve"> The digitalisation of this </w:t>
      </w:r>
      <w:r w:rsidR="00B21CD4">
        <w:rPr>
          <w:rFonts w:cstheme="minorHAnsi"/>
          <w:lang w:val="en-GB"/>
        </w:rPr>
        <w:t xml:space="preserve">share </w:t>
      </w:r>
      <w:r w:rsidR="007825FA">
        <w:rPr>
          <w:rFonts w:cstheme="minorHAnsi"/>
          <w:lang w:val="en-GB"/>
        </w:rPr>
        <w:t>of the food distribution s</w:t>
      </w:r>
      <w:r w:rsidR="00B21CD4">
        <w:rPr>
          <w:rFonts w:cstheme="minorHAnsi"/>
          <w:lang w:val="en-GB"/>
        </w:rPr>
        <w:t xml:space="preserve">ector </w:t>
      </w:r>
      <w:r w:rsidR="007D3A56">
        <w:rPr>
          <w:rFonts w:cstheme="minorHAnsi"/>
          <w:lang w:val="en-GB"/>
        </w:rPr>
        <w:t xml:space="preserve">probably presents idiosyncratic characteristics which partly affect figures on Italian e-food in general. Although this issue </w:t>
      </w:r>
      <w:r w:rsidR="00B21CD4">
        <w:rPr>
          <w:rFonts w:cstheme="minorHAnsi"/>
          <w:lang w:val="en-GB"/>
        </w:rPr>
        <w:t xml:space="preserve">does not probably align with the project’s objectives, </w:t>
      </w:r>
      <w:r w:rsidR="007D3A56">
        <w:rPr>
          <w:rFonts w:cstheme="minorHAnsi"/>
          <w:lang w:val="en-GB"/>
        </w:rPr>
        <w:t>it</w:t>
      </w:r>
      <w:r w:rsidR="00B21CD4">
        <w:rPr>
          <w:rFonts w:cstheme="minorHAnsi"/>
          <w:lang w:val="en-GB"/>
        </w:rPr>
        <w:t xml:space="preserve"> constitute</w:t>
      </w:r>
      <w:r w:rsidR="007D3A56">
        <w:rPr>
          <w:rFonts w:cstheme="minorHAnsi"/>
          <w:lang w:val="en-GB"/>
        </w:rPr>
        <w:t>s</w:t>
      </w:r>
      <w:r w:rsidR="00B21CD4">
        <w:rPr>
          <w:rFonts w:cstheme="minorHAnsi"/>
          <w:lang w:val="en-GB"/>
        </w:rPr>
        <w:t xml:space="preserve"> a</w:t>
      </w:r>
      <w:r w:rsidR="007C0B59">
        <w:rPr>
          <w:rFonts w:cstheme="minorHAnsi"/>
          <w:lang w:val="en-GB"/>
        </w:rPr>
        <w:t xml:space="preserve"> relevant force in the Italian scenario that should not be neglected</w:t>
      </w:r>
      <w:r w:rsidR="007D3A56">
        <w:rPr>
          <w:rFonts w:cstheme="minorHAnsi"/>
          <w:lang w:val="en-GB"/>
        </w:rPr>
        <w:t>.</w:t>
      </w:r>
      <w:r w:rsidR="005A5E0B">
        <w:rPr>
          <w:rFonts w:cstheme="minorHAnsi"/>
          <w:lang w:val="en-GB"/>
        </w:rPr>
        <w:t xml:space="preserve"> In this regard, the possible connections between AFNs and CDS could be explored. What are the main differences between AFNs and CDS? What are the “frictions” and “alliances” between the players of these two forms of food distributions? Is there a clear-cut difference between the two? How does an AFNs translate into a CDS and viceversa? Does the digitalisation of the sector affecting this relation? </w:t>
      </w:r>
    </w:p>
    <w:p w14:paraId="47604415" w14:textId="77777777" w:rsidR="000A5F13" w:rsidRDefault="000A5F13" w:rsidP="000A5F13">
      <w:pPr>
        <w:pStyle w:val="Paragrafoelenco"/>
        <w:numPr>
          <w:ilvl w:val="0"/>
          <w:numId w:val="11"/>
        </w:numPr>
        <w:spacing w:before="60" w:after="60"/>
        <w:ind w:left="284" w:hanging="284"/>
        <w:jc w:val="both"/>
        <w:rPr>
          <w:rFonts w:cstheme="minorHAnsi"/>
          <w:lang w:val="en-GB"/>
        </w:rPr>
      </w:pPr>
      <w:r>
        <w:rPr>
          <w:rFonts w:cstheme="minorHAnsi"/>
          <w:lang w:val="en-GB"/>
        </w:rPr>
        <w:t xml:space="preserve">The way households’ resources affect consumption possibilities and lifestyles should not be neglected. Physical and digital food platforms innovation may not only serve to promote and enable sustainable food consumption practices, but also hide conduits for distinction and boundary making processes that reinforce classed based practices. Along the lines, economic and cultural factors that facilitate or hindrance the take up of sustainable platforms/diet should be considered: how much does it cost to switch from a physical to a digital platform? What are the hidden costs (e.g. internet access, digital proficiency, adequate technological tools, etc.) of online grocery shopping? What are the symbolic values attached to traditional forms of grocery shopping? </w:t>
      </w:r>
    </w:p>
    <w:p w14:paraId="3E1B5FA7" w14:textId="77777777" w:rsidR="000A5F13" w:rsidRPr="00C32695" w:rsidRDefault="000A5F13" w:rsidP="000A5F13">
      <w:pPr>
        <w:pStyle w:val="Paragrafoelenco"/>
        <w:spacing w:before="60" w:after="60"/>
        <w:ind w:left="284"/>
        <w:jc w:val="both"/>
        <w:rPr>
          <w:rFonts w:cstheme="minorHAnsi"/>
          <w:lang w:val="en-GB"/>
        </w:rPr>
      </w:pPr>
    </w:p>
    <w:p w14:paraId="2DB08E28" w14:textId="71EAE0D7" w:rsidR="00777A97" w:rsidRPr="008317F8" w:rsidRDefault="008317F8" w:rsidP="00777A97">
      <w:pPr>
        <w:spacing w:before="60" w:after="60"/>
        <w:jc w:val="both"/>
        <w:rPr>
          <w:rFonts w:cstheme="minorHAnsi"/>
          <w:lang w:val="en-GB"/>
        </w:rPr>
      </w:pPr>
      <w:r>
        <w:rPr>
          <w:rFonts w:cstheme="minorHAnsi"/>
          <w:lang w:val="en-GB"/>
        </w:rPr>
        <w:t xml:space="preserve">  </w:t>
      </w:r>
      <w:r w:rsidRPr="008317F8">
        <w:rPr>
          <w:rFonts w:cstheme="minorHAnsi"/>
          <w:lang w:val="en-GB"/>
        </w:rPr>
        <w:t xml:space="preserve"> </w:t>
      </w:r>
      <w:r w:rsidR="00B1774E" w:rsidRPr="008317F8">
        <w:rPr>
          <w:rFonts w:cstheme="minorHAnsi"/>
          <w:lang w:val="en-GB"/>
        </w:rPr>
        <w:t xml:space="preserve"> </w:t>
      </w:r>
    </w:p>
    <w:p w14:paraId="43FA58A3" w14:textId="52ACB81E" w:rsidR="00A82D5C" w:rsidRPr="008317F8" w:rsidRDefault="00A82D5C" w:rsidP="00A82D5C">
      <w:pPr>
        <w:pStyle w:val="Paragrafoelenco"/>
        <w:spacing w:before="60" w:after="60"/>
        <w:ind w:left="0"/>
        <w:jc w:val="both"/>
        <w:rPr>
          <w:rFonts w:cstheme="minorHAnsi"/>
          <w:lang w:val="en-GB"/>
        </w:rPr>
      </w:pPr>
    </w:p>
    <w:p w14:paraId="47203E9A" w14:textId="7014062D" w:rsidR="00790080" w:rsidRPr="008317F8" w:rsidRDefault="00790080" w:rsidP="00A82D5C">
      <w:pPr>
        <w:pStyle w:val="Paragrafoelenco"/>
        <w:spacing w:before="60" w:after="60"/>
        <w:ind w:left="0"/>
        <w:jc w:val="both"/>
        <w:rPr>
          <w:rFonts w:cstheme="minorHAnsi"/>
          <w:lang w:val="en-GB"/>
        </w:rPr>
      </w:pPr>
    </w:p>
    <w:p w14:paraId="4B3DD0AD" w14:textId="5EC8C6B1" w:rsidR="00790080" w:rsidRPr="008317F8" w:rsidRDefault="00790080" w:rsidP="00A82D5C">
      <w:pPr>
        <w:pStyle w:val="Paragrafoelenco"/>
        <w:spacing w:before="60" w:after="60"/>
        <w:ind w:left="0"/>
        <w:jc w:val="both"/>
        <w:rPr>
          <w:rFonts w:cstheme="minorHAnsi"/>
          <w:lang w:val="en-GB"/>
        </w:rPr>
      </w:pPr>
    </w:p>
    <w:p w14:paraId="577B6BBC" w14:textId="1EEC63E3" w:rsidR="00790080" w:rsidRPr="008317F8" w:rsidRDefault="00790080" w:rsidP="00A82D5C">
      <w:pPr>
        <w:pStyle w:val="Paragrafoelenco"/>
        <w:spacing w:before="60" w:after="60"/>
        <w:ind w:left="0"/>
        <w:jc w:val="both"/>
        <w:rPr>
          <w:rFonts w:cstheme="minorHAnsi"/>
          <w:lang w:val="en-GB"/>
        </w:rPr>
      </w:pPr>
    </w:p>
    <w:p w14:paraId="6DC0C8DD" w14:textId="18337317" w:rsidR="00790080" w:rsidRPr="008317F8" w:rsidRDefault="00790080" w:rsidP="00A82D5C">
      <w:pPr>
        <w:pStyle w:val="Paragrafoelenco"/>
        <w:spacing w:before="60" w:after="60"/>
        <w:ind w:left="0"/>
        <w:jc w:val="both"/>
        <w:rPr>
          <w:rFonts w:cstheme="minorHAnsi"/>
          <w:lang w:val="en-GB"/>
        </w:rPr>
      </w:pPr>
    </w:p>
    <w:p w14:paraId="08D304A9" w14:textId="7BEEA4CA" w:rsidR="00790080" w:rsidRPr="008317F8" w:rsidRDefault="00790080" w:rsidP="00A82D5C">
      <w:pPr>
        <w:pStyle w:val="Paragrafoelenco"/>
        <w:spacing w:before="60" w:after="60"/>
        <w:ind w:left="0"/>
        <w:jc w:val="both"/>
        <w:rPr>
          <w:rFonts w:cstheme="minorHAnsi"/>
          <w:lang w:val="en-GB"/>
        </w:rPr>
      </w:pPr>
    </w:p>
    <w:p w14:paraId="0D34D35F" w14:textId="56975067" w:rsidR="00790080" w:rsidRPr="008317F8" w:rsidRDefault="00790080" w:rsidP="00A82D5C">
      <w:pPr>
        <w:pStyle w:val="Paragrafoelenco"/>
        <w:spacing w:before="60" w:after="60"/>
        <w:ind w:left="0"/>
        <w:jc w:val="both"/>
        <w:rPr>
          <w:rFonts w:cstheme="minorHAnsi"/>
          <w:lang w:val="en-GB"/>
        </w:rPr>
      </w:pPr>
    </w:p>
    <w:p w14:paraId="44E81A54" w14:textId="3AE1F961" w:rsidR="00790080" w:rsidRDefault="00790080" w:rsidP="00790080">
      <w:pPr>
        <w:pStyle w:val="Titolo2"/>
      </w:pPr>
      <w:bookmarkStart w:id="0" w:name="_GoBack"/>
      <w:bookmarkEnd w:id="0"/>
      <w:r w:rsidRPr="008770F0">
        <w:lastRenderedPageBreak/>
        <w:t>Refere</w:t>
      </w:r>
      <w:r>
        <w:t>nces</w:t>
      </w:r>
    </w:p>
    <w:p w14:paraId="0A28CEB7" w14:textId="77777777" w:rsidR="00146DB9" w:rsidRPr="00146DB9" w:rsidRDefault="00146DB9" w:rsidP="00146DB9"/>
    <w:p w14:paraId="2FF23345" w14:textId="3050F247" w:rsidR="007D3A56" w:rsidRDefault="007D3A56" w:rsidP="00AD57C5">
      <w:pPr>
        <w:spacing w:before="60" w:after="60"/>
        <w:ind w:firstLine="426"/>
        <w:rPr>
          <w:rStyle w:val="Collegamentoipertestuale"/>
          <w:rFonts w:cstheme="minorHAnsi"/>
          <w:color w:val="000000" w:themeColor="text1"/>
          <w:lang w:val="en-GB"/>
        </w:rPr>
      </w:pPr>
      <w:r w:rsidRPr="00AD57C5">
        <w:rPr>
          <w:rFonts w:cstheme="minorHAnsi"/>
          <w:color w:val="000000" w:themeColor="text1"/>
        </w:rPr>
        <w:t xml:space="preserve">AGCM (2013). Indagine conoscitiva sul settore della GDO – IC43. </w:t>
      </w:r>
      <w:r w:rsidRPr="00AD57C5">
        <w:rPr>
          <w:rFonts w:cstheme="minorHAnsi"/>
          <w:color w:val="000000" w:themeColor="text1"/>
          <w:lang w:val="en-GB"/>
        </w:rPr>
        <w:t xml:space="preserve">Available at: </w:t>
      </w:r>
      <w:hyperlink r:id="rId40" w:history="1">
        <w:r w:rsidRPr="00AD57C5">
          <w:rPr>
            <w:rStyle w:val="Collegamentoipertestuale"/>
            <w:rFonts w:cstheme="minorHAnsi"/>
            <w:color w:val="000000" w:themeColor="text1"/>
            <w:lang w:val="en-GB"/>
          </w:rPr>
          <w:t>https://docplayer.it/148250-Indagine-conoscitiva-sul-settore-della-gdo-ic43.html</w:t>
        </w:r>
      </w:hyperlink>
    </w:p>
    <w:p w14:paraId="2C6B54FA" w14:textId="5D3788C0" w:rsidR="003F6247" w:rsidRPr="00AD57C5" w:rsidRDefault="003F6247" w:rsidP="00AD57C5">
      <w:pPr>
        <w:spacing w:before="60" w:after="60"/>
        <w:ind w:firstLine="426"/>
        <w:rPr>
          <w:rFonts w:cstheme="minorHAnsi"/>
          <w:color w:val="000000" w:themeColor="text1"/>
          <w:lang w:val="en-GB"/>
        </w:rPr>
      </w:pPr>
      <w:r w:rsidRPr="00FE6054">
        <w:rPr>
          <w:rFonts w:cstheme="minorHAnsi"/>
          <w:color w:val="000000" w:themeColor="text1"/>
          <w:lang w:val="sv-SE"/>
        </w:rPr>
        <w:t xml:space="preserve">Almli, V. L., Verbeke, W., Vanhonacker, F., Næs, T., &amp; Hersleth, M. (2011). </w:t>
      </w:r>
      <w:r w:rsidRPr="003F6247">
        <w:rPr>
          <w:rFonts w:cstheme="minorHAnsi"/>
          <w:color w:val="000000" w:themeColor="text1"/>
          <w:lang w:val="en-GB"/>
        </w:rPr>
        <w:t xml:space="preserve">General image and attribute perceptions of traditional food in six European countries. </w:t>
      </w:r>
      <w:r w:rsidRPr="003F6247">
        <w:rPr>
          <w:rFonts w:cstheme="minorHAnsi"/>
          <w:i/>
          <w:color w:val="000000" w:themeColor="text1"/>
          <w:lang w:val="en-GB"/>
        </w:rPr>
        <w:t>Food Quality and Preference</w:t>
      </w:r>
      <w:r w:rsidRPr="003F6247">
        <w:rPr>
          <w:rFonts w:cstheme="minorHAnsi"/>
          <w:color w:val="000000" w:themeColor="text1"/>
          <w:lang w:val="en-GB"/>
        </w:rPr>
        <w:t>, 22(1), 129-138.</w:t>
      </w:r>
    </w:p>
    <w:p w14:paraId="79A599A2" w14:textId="68C65F80" w:rsidR="007D3A56" w:rsidRDefault="007D3A56" w:rsidP="00AD57C5">
      <w:pPr>
        <w:spacing w:before="60" w:after="60" w:line="276" w:lineRule="auto"/>
        <w:ind w:firstLine="426"/>
        <w:jc w:val="both"/>
        <w:rPr>
          <w:rFonts w:cstheme="minorHAnsi"/>
          <w:color w:val="000000" w:themeColor="text1"/>
          <w:shd w:val="clear" w:color="auto" w:fill="FFFFFF"/>
          <w:lang w:val="en-GB"/>
        </w:rPr>
      </w:pPr>
      <w:r w:rsidRPr="00AD57C5">
        <w:rPr>
          <w:rFonts w:cstheme="minorHAnsi"/>
          <w:color w:val="000000" w:themeColor="text1"/>
          <w:shd w:val="clear" w:color="auto" w:fill="FFFFFF"/>
          <w:lang w:val="en-GB"/>
        </w:rPr>
        <w:t>Anguelovski, I. (2015). Healthy food stores, greenlining and food gentrification: Contesting new forms of privilege, displacement and locally unwanted land uses in racially mixed neighborhoods. </w:t>
      </w:r>
      <w:r w:rsidRPr="00AD57C5">
        <w:rPr>
          <w:rFonts w:cstheme="minorHAnsi"/>
          <w:i/>
          <w:iCs/>
          <w:color w:val="000000" w:themeColor="text1"/>
          <w:shd w:val="clear" w:color="auto" w:fill="FFFFFF"/>
          <w:lang w:val="en-GB"/>
        </w:rPr>
        <w:t>International Journal of Urban and Regional Research</w:t>
      </w:r>
      <w:r w:rsidRPr="00AD57C5">
        <w:rPr>
          <w:rFonts w:cstheme="minorHAnsi"/>
          <w:color w:val="000000" w:themeColor="text1"/>
          <w:shd w:val="clear" w:color="auto" w:fill="FFFFFF"/>
          <w:lang w:val="en-GB"/>
        </w:rPr>
        <w:t>, </w:t>
      </w:r>
      <w:r w:rsidRPr="00AD57C5">
        <w:rPr>
          <w:rFonts w:cstheme="minorHAnsi"/>
          <w:i/>
          <w:iCs/>
          <w:color w:val="000000" w:themeColor="text1"/>
          <w:shd w:val="clear" w:color="auto" w:fill="FFFFFF"/>
          <w:lang w:val="en-GB"/>
        </w:rPr>
        <w:t>39</w:t>
      </w:r>
      <w:r w:rsidRPr="00AD57C5">
        <w:rPr>
          <w:rFonts w:cstheme="minorHAnsi"/>
          <w:color w:val="000000" w:themeColor="text1"/>
          <w:shd w:val="clear" w:color="auto" w:fill="FFFFFF"/>
          <w:lang w:val="en-GB"/>
        </w:rPr>
        <w:t>(6), 1209-1230.</w:t>
      </w:r>
    </w:p>
    <w:p w14:paraId="1D4AA99D" w14:textId="647EF365" w:rsidR="00FE6054" w:rsidRPr="00FE6054" w:rsidRDefault="00FE6054" w:rsidP="00FE6054">
      <w:pPr>
        <w:spacing w:before="60" w:after="60" w:line="276" w:lineRule="auto"/>
        <w:ind w:firstLine="426"/>
        <w:jc w:val="both"/>
        <w:rPr>
          <w:rFonts w:cstheme="minorHAnsi"/>
          <w:color w:val="000000" w:themeColor="text1"/>
          <w:shd w:val="clear" w:color="auto" w:fill="FFFFFF"/>
          <w:lang w:val="en-GB"/>
        </w:rPr>
      </w:pPr>
      <w:r w:rsidRPr="00FE6054">
        <w:rPr>
          <w:rFonts w:cstheme="minorHAnsi"/>
          <w:color w:val="000000" w:themeColor="text1"/>
          <w:shd w:val="clear" w:color="auto" w:fill="FFFFFF"/>
          <w:lang w:val="sv-SE"/>
        </w:rPr>
        <w:t>Area Studi Mediobanca (2017). I maggior</w:t>
      </w:r>
      <w:r>
        <w:rPr>
          <w:rFonts w:cstheme="minorHAnsi"/>
          <w:color w:val="000000" w:themeColor="text1"/>
          <w:shd w:val="clear" w:color="auto" w:fill="FFFFFF"/>
          <w:lang w:val="sv-SE"/>
        </w:rPr>
        <w:t xml:space="preserve">i gruppi italiani (2012-2016) </w:t>
      </w:r>
      <w:r w:rsidRPr="00FE6054">
        <w:rPr>
          <w:rFonts w:cstheme="minorHAnsi"/>
          <w:color w:val="000000" w:themeColor="text1"/>
          <w:shd w:val="clear" w:color="auto" w:fill="FFFFFF"/>
          <w:lang w:val="sv-SE"/>
        </w:rPr>
        <w:t>e internazionali (2014-2016) della Gdo alimentare</w:t>
      </w:r>
      <w:r>
        <w:rPr>
          <w:rFonts w:cstheme="minorHAnsi"/>
          <w:color w:val="000000" w:themeColor="text1"/>
          <w:shd w:val="clear" w:color="auto" w:fill="FFFFFF"/>
          <w:lang w:val="sv-SE"/>
        </w:rPr>
        <w:t xml:space="preserve">. </w:t>
      </w:r>
      <w:r w:rsidRPr="00FE6054">
        <w:rPr>
          <w:rFonts w:cstheme="minorHAnsi"/>
          <w:color w:val="000000" w:themeColor="text1"/>
          <w:shd w:val="clear" w:color="auto" w:fill="FFFFFF"/>
          <w:lang w:val="en-GB"/>
        </w:rPr>
        <w:t>A</w:t>
      </w:r>
      <w:r>
        <w:rPr>
          <w:rFonts w:cstheme="minorHAnsi"/>
          <w:color w:val="000000" w:themeColor="text1"/>
          <w:shd w:val="clear" w:color="auto" w:fill="FFFFFF"/>
          <w:lang w:val="en-GB"/>
        </w:rPr>
        <w:t xml:space="preserve">vailable at: </w:t>
      </w:r>
      <w:r w:rsidRPr="00FE6054">
        <w:rPr>
          <w:rFonts w:cstheme="minorHAnsi"/>
          <w:color w:val="000000" w:themeColor="text1"/>
          <w:shd w:val="clear" w:color="auto" w:fill="FFFFFF"/>
          <w:lang w:val="en-GB"/>
        </w:rPr>
        <w:t xml:space="preserve">https://www.mbres.it/sites/default/files/resources/rs_Focus-GDO-2017.pdf   </w:t>
      </w:r>
    </w:p>
    <w:p w14:paraId="75ADE71C" w14:textId="76DEEEA9" w:rsidR="003F6247" w:rsidRPr="00AD57C5" w:rsidRDefault="003F6247" w:rsidP="00AD57C5">
      <w:pPr>
        <w:spacing w:before="60" w:after="60" w:line="276" w:lineRule="auto"/>
        <w:ind w:firstLine="426"/>
        <w:jc w:val="both"/>
        <w:rPr>
          <w:rFonts w:cstheme="minorHAnsi"/>
          <w:color w:val="000000" w:themeColor="text1"/>
          <w:lang w:val="en-GB"/>
        </w:rPr>
      </w:pPr>
      <w:r w:rsidRPr="003F6247">
        <w:rPr>
          <w:rFonts w:cstheme="minorHAnsi"/>
          <w:color w:val="000000" w:themeColor="text1"/>
          <w:lang w:val="en-GB"/>
        </w:rPr>
        <w:t xml:space="preserve">Balogh, P., Békési, D., Gorton, M., Popp, J., &amp; Lengyel, P. (2016). Consumer willingness to pay for traditional food products. </w:t>
      </w:r>
      <w:r w:rsidRPr="003F6247">
        <w:rPr>
          <w:rFonts w:cstheme="minorHAnsi"/>
          <w:i/>
          <w:color w:val="000000" w:themeColor="text1"/>
          <w:lang w:val="en-GB"/>
        </w:rPr>
        <w:t>Food Policy</w:t>
      </w:r>
      <w:r w:rsidRPr="003F6247">
        <w:rPr>
          <w:rFonts w:cstheme="minorHAnsi"/>
          <w:color w:val="000000" w:themeColor="text1"/>
          <w:lang w:val="en-GB"/>
        </w:rPr>
        <w:t>, 61, 176-184.</w:t>
      </w:r>
    </w:p>
    <w:p w14:paraId="6103C533" w14:textId="77777777" w:rsidR="007D3A56" w:rsidRPr="00BE5D43" w:rsidRDefault="007D3A56" w:rsidP="00AD57C5">
      <w:pPr>
        <w:spacing w:before="60" w:after="60" w:line="276" w:lineRule="auto"/>
        <w:ind w:firstLine="426"/>
        <w:jc w:val="both"/>
        <w:rPr>
          <w:rFonts w:cstheme="minorHAnsi"/>
          <w:color w:val="000000" w:themeColor="text1"/>
          <w:shd w:val="clear" w:color="auto" w:fill="FFFFFF"/>
        </w:rPr>
      </w:pPr>
      <w:r w:rsidRPr="008770F0">
        <w:rPr>
          <w:rFonts w:cstheme="minorHAnsi"/>
          <w:color w:val="000000" w:themeColor="text1"/>
          <w:shd w:val="clear" w:color="auto" w:fill="FFFFFF"/>
          <w:lang w:val="en-GB"/>
        </w:rPr>
        <w:t xml:space="preserve">Barriuso, L., Miqueleiz, E., Albaladejo, R., Villanueva, R., Santos, J. M., &amp; Regidor, E. (2015). </w:t>
      </w:r>
      <w:r w:rsidRPr="00AD57C5">
        <w:rPr>
          <w:rFonts w:cstheme="minorHAnsi"/>
          <w:color w:val="000000" w:themeColor="text1"/>
          <w:shd w:val="clear" w:color="auto" w:fill="FFFFFF"/>
          <w:lang w:val="en-GB"/>
        </w:rPr>
        <w:t>Socioeconomic position and childhood-adolescent weight status in rich countries: a systematic review, 1990–2013. </w:t>
      </w:r>
      <w:r w:rsidRPr="00BE5D43">
        <w:rPr>
          <w:rFonts w:cstheme="minorHAnsi"/>
          <w:i/>
          <w:iCs/>
          <w:color w:val="000000" w:themeColor="text1"/>
          <w:shd w:val="clear" w:color="auto" w:fill="FFFFFF"/>
        </w:rPr>
        <w:t>BMC pediatrics</w:t>
      </w:r>
      <w:r w:rsidRPr="00BE5D43">
        <w:rPr>
          <w:rFonts w:cstheme="minorHAnsi"/>
          <w:color w:val="000000" w:themeColor="text1"/>
          <w:shd w:val="clear" w:color="auto" w:fill="FFFFFF"/>
        </w:rPr>
        <w:t>, </w:t>
      </w:r>
      <w:r w:rsidRPr="00BE5D43">
        <w:rPr>
          <w:rFonts w:cstheme="minorHAnsi"/>
          <w:i/>
          <w:iCs/>
          <w:color w:val="000000" w:themeColor="text1"/>
          <w:shd w:val="clear" w:color="auto" w:fill="FFFFFF"/>
        </w:rPr>
        <w:t>15</w:t>
      </w:r>
      <w:r w:rsidRPr="00BE5D43">
        <w:rPr>
          <w:rFonts w:cstheme="minorHAnsi"/>
          <w:color w:val="000000" w:themeColor="text1"/>
          <w:shd w:val="clear" w:color="auto" w:fill="FFFFFF"/>
        </w:rPr>
        <w:t>(1), 129.</w:t>
      </w:r>
    </w:p>
    <w:p w14:paraId="68B11E5A" w14:textId="77777777" w:rsidR="007D3A56" w:rsidRPr="00AD57C5" w:rsidRDefault="007D3A56" w:rsidP="00AD57C5">
      <w:pPr>
        <w:spacing w:before="60" w:after="60"/>
        <w:ind w:firstLine="426"/>
        <w:rPr>
          <w:rFonts w:cstheme="minorHAnsi"/>
          <w:color w:val="000000" w:themeColor="text1"/>
          <w:lang w:val="en-GB"/>
        </w:rPr>
      </w:pPr>
      <w:r w:rsidRPr="00AD57C5">
        <w:rPr>
          <w:rFonts w:cstheme="minorHAnsi"/>
          <w:color w:val="000000" w:themeColor="text1"/>
        </w:rPr>
        <w:t xml:space="preserve">Belloni, A. (2014). </w:t>
      </w:r>
      <w:r w:rsidRPr="00AD57C5">
        <w:rPr>
          <w:rFonts w:cstheme="minorHAnsi"/>
          <w:i/>
          <w:iCs/>
          <w:color w:val="000000" w:themeColor="text1"/>
        </w:rPr>
        <w:t>Food economy: l'Italia e le strade infinite del cibo tra società e consumi</w:t>
      </w:r>
      <w:r w:rsidRPr="00AD57C5">
        <w:rPr>
          <w:rFonts w:cstheme="minorHAnsi"/>
          <w:color w:val="000000" w:themeColor="text1"/>
        </w:rPr>
        <w:t xml:space="preserve">. </w:t>
      </w:r>
      <w:r w:rsidRPr="0063598B">
        <w:rPr>
          <w:rFonts w:cstheme="minorHAnsi"/>
          <w:color w:val="000000" w:themeColor="text1"/>
          <w:lang w:val="en-GB"/>
        </w:rPr>
        <w:t>Marsilio.</w:t>
      </w:r>
    </w:p>
    <w:p w14:paraId="6DE640F4" w14:textId="77777777" w:rsidR="007D3A56" w:rsidRPr="00AD57C5" w:rsidRDefault="007D3A56" w:rsidP="00AD57C5">
      <w:pPr>
        <w:spacing w:before="60" w:after="60"/>
        <w:ind w:firstLine="426"/>
        <w:rPr>
          <w:rFonts w:cstheme="minorHAnsi"/>
          <w:color w:val="000000" w:themeColor="text1"/>
          <w:lang w:val="en-GB"/>
        </w:rPr>
      </w:pPr>
      <w:r w:rsidRPr="00BE5D43">
        <w:rPr>
          <w:rFonts w:cstheme="minorHAnsi"/>
          <w:color w:val="000000" w:themeColor="text1"/>
          <w:lang w:val="en-GB"/>
        </w:rPr>
        <w:t xml:space="preserve">Blasi, E., Cicatiello, C., Pancino, B., &amp; Franco, S. (2015). </w:t>
      </w:r>
      <w:r w:rsidRPr="00AD57C5">
        <w:rPr>
          <w:rFonts w:cstheme="minorHAnsi"/>
          <w:color w:val="000000" w:themeColor="text1"/>
          <w:lang w:val="en-GB"/>
        </w:rPr>
        <w:t xml:space="preserve">Alternative food chains as a way to embed mountain agriculture in the urban market: the case of Trentino. </w:t>
      </w:r>
      <w:r w:rsidRPr="0063598B">
        <w:rPr>
          <w:rFonts w:cstheme="minorHAnsi"/>
          <w:i/>
          <w:iCs/>
          <w:color w:val="000000" w:themeColor="text1"/>
          <w:lang w:val="en-GB"/>
        </w:rPr>
        <w:t>Agricultural and Food Economics</w:t>
      </w:r>
      <w:r w:rsidRPr="0063598B">
        <w:rPr>
          <w:rFonts w:cstheme="minorHAnsi"/>
          <w:color w:val="000000" w:themeColor="text1"/>
          <w:lang w:val="en-GB"/>
        </w:rPr>
        <w:t xml:space="preserve">, </w:t>
      </w:r>
      <w:r w:rsidRPr="0063598B">
        <w:rPr>
          <w:rFonts w:cstheme="minorHAnsi"/>
          <w:i/>
          <w:iCs/>
          <w:color w:val="000000" w:themeColor="text1"/>
          <w:lang w:val="en-GB"/>
        </w:rPr>
        <w:t>3</w:t>
      </w:r>
      <w:r w:rsidRPr="0063598B">
        <w:rPr>
          <w:rFonts w:cstheme="minorHAnsi"/>
          <w:color w:val="000000" w:themeColor="text1"/>
          <w:lang w:val="en-GB"/>
        </w:rPr>
        <w:t>(1), 3.</w:t>
      </w:r>
    </w:p>
    <w:p w14:paraId="3556BDD0" w14:textId="77777777" w:rsidR="007D3A56" w:rsidRPr="0063598B" w:rsidRDefault="007D3A56" w:rsidP="00AD57C5">
      <w:pPr>
        <w:spacing w:before="60" w:after="60"/>
        <w:ind w:firstLine="426"/>
        <w:rPr>
          <w:rFonts w:cstheme="minorHAnsi"/>
          <w:color w:val="000000" w:themeColor="text1"/>
          <w:lang w:val="en-GB"/>
        </w:rPr>
      </w:pPr>
      <w:r w:rsidRPr="00FE6054">
        <w:rPr>
          <w:rFonts w:cstheme="minorHAnsi"/>
          <w:color w:val="000000" w:themeColor="text1"/>
          <w:lang w:val="en-GB"/>
        </w:rPr>
        <w:t xml:space="preserve">Brunori, G., Galli, F., Barjolle, D., Van Broekhuizen, R., Colombo, L., Giampietro, M., ... </w:t>
      </w:r>
      <w:r w:rsidRPr="00AD57C5">
        <w:rPr>
          <w:rFonts w:cstheme="minorHAnsi"/>
          <w:color w:val="000000" w:themeColor="text1"/>
          <w:lang w:val="en-GB"/>
        </w:rPr>
        <w:t xml:space="preserve">&amp; de Roest, K. (2016). Are local food chains more sustainable than global food chains? </w:t>
      </w:r>
      <w:r w:rsidRPr="0063598B">
        <w:rPr>
          <w:rFonts w:cstheme="minorHAnsi"/>
          <w:color w:val="000000" w:themeColor="text1"/>
          <w:lang w:val="en-GB"/>
        </w:rPr>
        <w:t xml:space="preserve">Considerations for assessment. </w:t>
      </w:r>
      <w:r w:rsidRPr="0063598B">
        <w:rPr>
          <w:rFonts w:cstheme="minorHAnsi"/>
          <w:i/>
          <w:iCs/>
          <w:color w:val="000000" w:themeColor="text1"/>
          <w:lang w:val="en-GB"/>
        </w:rPr>
        <w:t>Sustainability</w:t>
      </w:r>
      <w:r w:rsidRPr="0063598B">
        <w:rPr>
          <w:rFonts w:cstheme="minorHAnsi"/>
          <w:color w:val="000000" w:themeColor="text1"/>
          <w:lang w:val="en-GB"/>
        </w:rPr>
        <w:t xml:space="preserve">, </w:t>
      </w:r>
      <w:r w:rsidRPr="0063598B">
        <w:rPr>
          <w:rFonts w:cstheme="minorHAnsi"/>
          <w:i/>
          <w:iCs/>
          <w:color w:val="000000" w:themeColor="text1"/>
          <w:lang w:val="en-GB"/>
        </w:rPr>
        <w:t>8</w:t>
      </w:r>
      <w:r w:rsidRPr="0063598B">
        <w:rPr>
          <w:rFonts w:cstheme="minorHAnsi"/>
          <w:color w:val="000000" w:themeColor="text1"/>
          <w:lang w:val="en-GB"/>
        </w:rPr>
        <w:t>(5), 449.</w:t>
      </w:r>
    </w:p>
    <w:p w14:paraId="5BBCA110" w14:textId="77777777" w:rsidR="007D3A56" w:rsidRPr="00AD57C5" w:rsidRDefault="007D3A56" w:rsidP="00AD57C5">
      <w:pPr>
        <w:spacing w:before="60" w:after="60" w:line="276" w:lineRule="auto"/>
        <w:ind w:firstLine="426"/>
        <w:jc w:val="both"/>
        <w:rPr>
          <w:rFonts w:cstheme="minorHAnsi"/>
          <w:color w:val="000000" w:themeColor="text1"/>
          <w:lang w:val="en-GB"/>
        </w:rPr>
      </w:pPr>
      <w:r w:rsidRPr="00AD57C5">
        <w:rPr>
          <w:rFonts w:cstheme="minorHAnsi"/>
          <w:color w:val="000000" w:themeColor="text1"/>
          <w:shd w:val="clear" w:color="auto" w:fill="FFFFFF"/>
          <w:lang w:val="en-GB"/>
        </w:rPr>
        <w:t>Cairns, K., &amp; Johnston, J. (2015). </w:t>
      </w:r>
      <w:r w:rsidRPr="00AD57C5">
        <w:rPr>
          <w:rFonts w:cstheme="minorHAnsi"/>
          <w:i/>
          <w:iCs/>
          <w:color w:val="000000" w:themeColor="text1"/>
          <w:shd w:val="clear" w:color="auto" w:fill="FFFFFF"/>
          <w:lang w:val="en-GB"/>
        </w:rPr>
        <w:t>Food and femininity</w:t>
      </w:r>
      <w:r w:rsidRPr="00AD57C5">
        <w:rPr>
          <w:rFonts w:cstheme="minorHAnsi"/>
          <w:color w:val="000000" w:themeColor="text1"/>
          <w:shd w:val="clear" w:color="auto" w:fill="FFFFFF"/>
          <w:lang w:val="en-GB"/>
        </w:rPr>
        <w:t>. New York: Bloomsbury Academic.</w:t>
      </w:r>
    </w:p>
    <w:p w14:paraId="6E7BCE1B" w14:textId="77777777" w:rsidR="007D3A56" w:rsidRPr="00BE5D43" w:rsidRDefault="007D3A56" w:rsidP="00AD57C5">
      <w:pPr>
        <w:spacing w:before="60" w:after="60" w:line="276" w:lineRule="auto"/>
        <w:ind w:firstLine="426"/>
        <w:jc w:val="both"/>
        <w:rPr>
          <w:rFonts w:cstheme="minorHAnsi"/>
          <w:color w:val="000000" w:themeColor="text1"/>
        </w:rPr>
      </w:pPr>
      <w:r w:rsidRPr="00AD57C5">
        <w:rPr>
          <w:rFonts w:cstheme="minorHAnsi"/>
          <w:color w:val="000000" w:themeColor="text1"/>
          <w:shd w:val="clear" w:color="auto" w:fill="FFFFFF"/>
          <w:lang w:val="en-GB"/>
        </w:rPr>
        <w:t>Cairns, K., Johnston, J., &amp; MacKendrick, N. (2013). Feeding the ‘organic child’: Mothering through ethical consumption. </w:t>
      </w:r>
      <w:r w:rsidRPr="00BE5D43">
        <w:rPr>
          <w:rFonts w:cstheme="minorHAnsi"/>
          <w:i/>
          <w:iCs/>
          <w:color w:val="000000" w:themeColor="text1"/>
          <w:shd w:val="clear" w:color="auto" w:fill="FFFFFF"/>
        </w:rPr>
        <w:t>Journal of Consumer Culture</w:t>
      </w:r>
      <w:r w:rsidRPr="00BE5D43">
        <w:rPr>
          <w:rFonts w:cstheme="minorHAnsi"/>
          <w:color w:val="000000" w:themeColor="text1"/>
          <w:shd w:val="clear" w:color="auto" w:fill="FFFFFF"/>
        </w:rPr>
        <w:t>, </w:t>
      </w:r>
      <w:r w:rsidRPr="00BE5D43">
        <w:rPr>
          <w:rFonts w:cstheme="minorHAnsi"/>
          <w:i/>
          <w:iCs/>
          <w:color w:val="000000" w:themeColor="text1"/>
          <w:shd w:val="clear" w:color="auto" w:fill="FFFFFF"/>
        </w:rPr>
        <w:t>13</w:t>
      </w:r>
      <w:r w:rsidRPr="00BE5D43">
        <w:rPr>
          <w:rFonts w:cstheme="minorHAnsi"/>
          <w:color w:val="000000" w:themeColor="text1"/>
          <w:shd w:val="clear" w:color="auto" w:fill="FFFFFF"/>
        </w:rPr>
        <w:t>(2), 97-118.</w:t>
      </w:r>
    </w:p>
    <w:p w14:paraId="1E9EE636" w14:textId="77777777" w:rsidR="007D3A56" w:rsidRPr="00AD57C5" w:rsidRDefault="007D3A56" w:rsidP="00AD57C5">
      <w:pPr>
        <w:spacing w:before="60" w:after="60"/>
        <w:ind w:firstLine="426"/>
        <w:rPr>
          <w:rFonts w:cstheme="minorHAnsi"/>
          <w:color w:val="000000" w:themeColor="text1"/>
          <w:lang w:val="en-GB"/>
        </w:rPr>
      </w:pPr>
      <w:r w:rsidRPr="00AD57C5">
        <w:rPr>
          <w:rFonts w:cstheme="minorHAnsi"/>
          <w:color w:val="000000" w:themeColor="text1"/>
        </w:rPr>
        <w:t xml:space="preserve">Ciconte, F. &amp; Liberti, S. (2017) Supermercati, il grande inganno del sottocosto. </w:t>
      </w:r>
      <w:r w:rsidRPr="0063598B">
        <w:rPr>
          <w:rFonts w:cstheme="minorHAnsi"/>
          <w:i/>
          <w:color w:val="000000" w:themeColor="text1"/>
          <w:lang w:val="en-GB"/>
        </w:rPr>
        <w:t>Internazionale</w:t>
      </w:r>
      <w:r w:rsidRPr="0063598B">
        <w:rPr>
          <w:rFonts w:cstheme="minorHAnsi"/>
          <w:color w:val="000000" w:themeColor="text1"/>
          <w:lang w:val="en-GB"/>
        </w:rPr>
        <w:t xml:space="preserve"> 27/02/2017. </w:t>
      </w:r>
      <w:r w:rsidRPr="00AD57C5">
        <w:rPr>
          <w:rFonts w:cstheme="minorHAnsi"/>
          <w:color w:val="000000" w:themeColor="text1"/>
          <w:lang w:val="en-GB"/>
        </w:rPr>
        <w:t>Available at: https://www.internazionale.it/reportage/fabio-ciconte/2017/02/27/supermercati-inganno-sotto-costo</w:t>
      </w:r>
    </w:p>
    <w:p w14:paraId="50F25798" w14:textId="77777777" w:rsidR="007D3A56" w:rsidRPr="00AD57C5" w:rsidRDefault="007D3A56" w:rsidP="00AD57C5">
      <w:pPr>
        <w:spacing w:before="60" w:after="60"/>
        <w:ind w:firstLine="426"/>
        <w:rPr>
          <w:rFonts w:cstheme="minorHAnsi"/>
          <w:color w:val="000000" w:themeColor="text1"/>
          <w:lang w:val="en-GB"/>
        </w:rPr>
      </w:pPr>
      <w:r w:rsidRPr="00AD57C5">
        <w:rPr>
          <w:rFonts w:cstheme="minorHAnsi"/>
          <w:color w:val="000000" w:themeColor="text1"/>
          <w:lang w:val="en-GB"/>
        </w:rPr>
        <w:t>Coop (2017). Rapporto Coop 2017. Available at: http://italiani.coop/rapporto-coop-2017-anteprima-digitale/</w:t>
      </w:r>
    </w:p>
    <w:p w14:paraId="7C1741F9" w14:textId="77777777" w:rsidR="007D3A56" w:rsidRPr="00BE5D43" w:rsidRDefault="007D3A56" w:rsidP="00AD57C5">
      <w:pPr>
        <w:spacing w:before="60" w:after="60" w:line="276" w:lineRule="auto"/>
        <w:ind w:firstLine="426"/>
        <w:jc w:val="both"/>
        <w:rPr>
          <w:rFonts w:cstheme="minorHAnsi"/>
          <w:color w:val="000000" w:themeColor="text1"/>
        </w:rPr>
      </w:pPr>
      <w:r w:rsidRPr="00AD57C5">
        <w:rPr>
          <w:rFonts w:cstheme="minorHAnsi"/>
          <w:color w:val="000000" w:themeColor="text1"/>
          <w:lang w:val="en-GB"/>
        </w:rPr>
        <w:t xml:space="preserve">DeVault, M. L. (1994). </w:t>
      </w:r>
      <w:r w:rsidRPr="00AD57C5">
        <w:rPr>
          <w:rFonts w:cstheme="minorHAnsi"/>
          <w:i/>
          <w:color w:val="000000" w:themeColor="text1"/>
          <w:lang w:val="en-GB"/>
        </w:rPr>
        <w:t>Feeding the family: The social organization of caring as gendered work</w:t>
      </w:r>
      <w:r w:rsidRPr="00AD57C5">
        <w:rPr>
          <w:rFonts w:cstheme="minorHAnsi"/>
          <w:color w:val="000000" w:themeColor="text1"/>
          <w:lang w:val="en-GB"/>
        </w:rPr>
        <w:t xml:space="preserve">. </w:t>
      </w:r>
      <w:r w:rsidRPr="00BE5D43">
        <w:rPr>
          <w:rFonts w:cstheme="minorHAnsi"/>
          <w:color w:val="000000" w:themeColor="text1"/>
        </w:rPr>
        <w:t>Chicago: University of Chicago Press.</w:t>
      </w:r>
    </w:p>
    <w:p w14:paraId="234AF2E8" w14:textId="77777777" w:rsidR="007D3A56" w:rsidRPr="0063598B" w:rsidRDefault="007D3A56" w:rsidP="00AD57C5">
      <w:pPr>
        <w:spacing w:before="60" w:after="60"/>
        <w:ind w:firstLine="426"/>
        <w:rPr>
          <w:rFonts w:cstheme="minorHAnsi"/>
          <w:color w:val="000000" w:themeColor="text1"/>
          <w:lang w:val="en-GB"/>
        </w:rPr>
      </w:pPr>
      <w:r w:rsidRPr="00AD57C5">
        <w:rPr>
          <w:rFonts w:cstheme="minorHAnsi"/>
          <w:color w:val="000000" w:themeColor="text1"/>
        </w:rPr>
        <w:t xml:space="preserve">Distribuzione Moderna (2018). Guida centrali d’acquisto e gruppi distributivi alimentari in Italia. </w:t>
      </w:r>
      <w:r w:rsidRPr="0063598B">
        <w:rPr>
          <w:rFonts w:cstheme="minorHAnsi"/>
          <w:color w:val="000000" w:themeColor="text1"/>
          <w:lang w:val="en-GB"/>
        </w:rPr>
        <w:t xml:space="preserve">Edizioni CM. </w:t>
      </w:r>
    </w:p>
    <w:p w14:paraId="0D557518" w14:textId="77777777" w:rsidR="007D3A56" w:rsidRPr="00AD57C5" w:rsidRDefault="007D3A56" w:rsidP="00AD57C5">
      <w:pPr>
        <w:spacing w:before="60" w:after="60"/>
        <w:ind w:firstLine="426"/>
        <w:rPr>
          <w:rFonts w:cstheme="minorHAnsi"/>
          <w:color w:val="000000" w:themeColor="text1"/>
          <w:lang w:val="en-GB"/>
        </w:rPr>
      </w:pPr>
      <w:r w:rsidRPr="00AD57C5">
        <w:rPr>
          <w:rFonts w:cstheme="minorHAnsi"/>
          <w:color w:val="000000" w:themeColor="text1"/>
          <w:lang w:val="en-GB"/>
        </w:rPr>
        <w:t xml:space="preserve">Esping-Andersen, G. (2012). </w:t>
      </w:r>
      <w:r w:rsidRPr="00AD57C5">
        <w:rPr>
          <w:rFonts w:cstheme="minorHAnsi"/>
          <w:i/>
          <w:color w:val="000000" w:themeColor="text1"/>
          <w:lang w:val="en-GB"/>
        </w:rPr>
        <w:t>The incomplete revolution: adapting to women’s new roles</w:t>
      </w:r>
      <w:r w:rsidRPr="00AD57C5">
        <w:rPr>
          <w:rFonts w:cstheme="minorHAnsi"/>
          <w:color w:val="000000" w:themeColor="text1"/>
          <w:lang w:val="en-GB"/>
        </w:rPr>
        <w:t>. Cambridge: Polity Press</w:t>
      </w:r>
    </w:p>
    <w:p w14:paraId="2279BFC9" w14:textId="77777777" w:rsidR="007D3A56" w:rsidRPr="00AD57C5" w:rsidRDefault="007D3A56" w:rsidP="00AD57C5">
      <w:pPr>
        <w:spacing w:before="60" w:after="60"/>
        <w:ind w:firstLine="426"/>
        <w:rPr>
          <w:rFonts w:cstheme="minorHAnsi"/>
          <w:color w:val="000000" w:themeColor="text1"/>
          <w:lang w:val="en-GB"/>
        </w:rPr>
      </w:pPr>
      <w:r w:rsidRPr="00AD57C5">
        <w:rPr>
          <w:rFonts w:cstheme="minorHAnsi"/>
          <w:color w:val="000000" w:themeColor="text1"/>
          <w:lang w:val="en-GB"/>
        </w:rPr>
        <w:t xml:space="preserve">Eurobarometer (2016). </w:t>
      </w:r>
      <w:r w:rsidRPr="00AD57C5">
        <w:rPr>
          <w:rFonts w:cstheme="minorHAnsi"/>
          <w:i/>
          <w:color w:val="000000" w:themeColor="text1"/>
          <w:lang w:val="en-GB"/>
        </w:rPr>
        <w:t>E-Communications and the Digital Single Market</w:t>
      </w:r>
      <w:r w:rsidRPr="00AD57C5">
        <w:rPr>
          <w:rFonts w:cstheme="minorHAnsi"/>
          <w:color w:val="000000" w:themeColor="text1"/>
          <w:lang w:val="en-GB"/>
        </w:rPr>
        <w:t xml:space="preserve">. European Union, 2016. Available at: </w:t>
      </w:r>
      <w:hyperlink r:id="rId41" w:history="1">
        <w:r w:rsidRPr="00AD57C5">
          <w:rPr>
            <w:rStyle w:val="Collegamentoipertestuale"/>
            <w:rFonts w:cstheme="minorHAnsi"/>
            <w:color w:val="000000" w:themeColor="text1"/>
            <w:lang w:val="en-GB"/>
          </w:rPr>
          <w:t>http://www.eena.org/download.asp?item_id=177</w:t>
        </w:r>
      </w:hyperlink>
    </w:p>
    <w:p w14:paraId="33BF3FFC" w14:textId="77777777" w:rsidR="007D3A56" w:rsidRPr="00BE5D43" w:rsidRDefault="007D3A56" w:rsidP="00AD57C5">
      <w:pPr>
        <w:spacing w:before="60" w:after="60"/>
        <w:ind w:firstLine="426"/>
        <w:rPr>
          <w:rFonts w:cstheme="minorHAnsi"/>
          <w:color w:val="000000" w:themeColor="text1"/>
          <w:lang w:val="en-GB"/>
        </w:rPr>
      </w:pPr>
      <w:r w:rsidRPr="00AD57C5">
        <w:rPr>
          <w:rFonts w:cstheme="minorHAnsi"/>
          <w:color w:val="000000" w:themeColor="text1"/>
        </w:rPr>
        <w:t xml:space="preserve">Federdistribuzione (2016). Scenario Economico e Dinamica dei Consumi. </w:t>
      </w:r>
      <w:r w:rsidRPr="00BE5D43">
        <w:rPr>
          <w:rFonts w:cstheme="minorHAnsi"/>
          <w:color w:val="000000" w:themeColor="text1"/>
          <w:lang w:val="en-GB"/>
        </w:rPr>
        <w:t xml:space="preserve">Report available at </w:t>
      </w:r>
      <w:hyperlink r:id="rId42" w:history="1">
        <w:r w:rsidRPr="00BE5D43">
          <w:rPr>
            <w:rStyle w:val="Collegamentoipertestuale"/>
            <w:rFonts w:cstheme="minorHAnsi"/>
            <w:color w:val="000000" w:themeColor="text1"/>
            <w:lang w:val="en-GB"/>
          </w:rPr>
          <w:t>https://www.federdistribuzione.it/studi-e-ricerche/</w:t>
        </w:r>
      </w:hyperlink>
    </w:p>
    <w:p w14:paraId="4B0688B4" w14:textId="77777777" w:rsidR="007D3A56" w:rsidRPr="00BE5D43" w:rsidRDefault="007D3A56" w:rsidP="00AD57C5">
      <w:pPr>
        <w:spacing w:before="60" w:after="60" w:line="276" w:lineRule="auto"/>
        <w:ind w:firstLine="426"/>
        <w:jc w:val="both"/>
        <w:rPr>
          <w:rFonts w:cstheme="minorHAnsi"/>
          <w:color w:val="000000" w:themeColor="text1"/>
          <w:lang w:val="en-GB"/>
        </w:rPr>
      </w:pPr>
      <w:r w:rsidRPr="00AD57C5">
        <w:rPr>
          <w:rFonts w:cstheme="minorHAnsi"/>
          <w:color w:val="000000" w:themeColor="text1"/>
          <w:lang w:val="en-GB"/>
        </w:rPr>
        <w:t xml:space="preserve">Fielding-Singh, P. (2017). A Taste of Inequality: Food’s Symbolic Value across the Socioeconomic Spectrum. </w:t>
      </w:r>
      <w:r w:rsidRPr="00BE5D43">
        <w:rPr>
          <w:rFonts w:cstheme="minorHAnsi"/>
          <w:i/>
          <w:iCs/>
          <w:color w:val="000000" w:themeColor="text1"/>
          <w:lang w:val="en-GB"/>
        </w:rPr>
        <w:t>Sociological Science</w:t>
      </w:r>
      <w:r w:rsidRPr="00BE5D43">
        <w:rPr>
          <w:rFonts w:cstheme="minorHAnsi"/>
          <w:color w:val="000000" w:themeColor="text1"/>
          <w:lang w:val="en-GB"/>
        </w:rPr>
        <w:t xml:space="preserve">, </w:t>
      </w:r>
      <w:r w:rsidRPr="00BE5D43">
        <w:rPr>
          <w:rFonts w:cstheme="minorHAnsi"/>
          <w:i/>
          <w:iCs/>
          <w:color w:val="000000" w:themeColor="text1"/>
          <w:lang w:val="en-GB"/>
        </w:rPr>
        <w:t>4</w:t>
      </w:r>
      <w:r w:rsidRPr="00BE5D43">
        <w:rPr>
          <w:rFonts w:cstheme="minorHAnsi"/>
          <w:color w:val="000000" w:themeColor="text1"/>
          <w:lang w:val="en-GB"/>
        </w:rPr>
        <w:t>(17), 424-448.</w:t>
      </w:r>
    </w:p>
    <w:p w14:paraId="54B73948" w14:textId="77777777" w:rsidR="007D3A56" w:rsidRPr="00AD57C5" w:rsidRDefault="007D3A56" w:rsidP="00AD57C5">
      <w:pPr>
        <w:spacing w:before="60" w:after="60"/>
        <w:ind w:firstLine="426"/>
        <w:rPr>
          <w:rFonts w:cstheme="minorHAnsi"/>
          <w:color w:val="000000" w:themeColor="text1"/>
          <w:lang w:val="en-GB"/>
        </w:rPr>
      </w:pPr>
      <w:r w:rsidRPr="00BE5D43">
        <w:rPr>
          <w:rFonts w:cstheme="minorHAnsi"/>
          <w:color w:val="000000" w:themeColor="text1"/>
          <w:lang w:val="en-GB"/>
        </w:rPr>
        <w:lastRenderedPageBreak/>
        <w:t xml:space="preserve">Forno, F., &amp; Graziano, P. R. (2014). </w:t>
      </w:r>
      <w:r w:rsidRPr="00AD57C5">
        <w:rPr>
          <w:rFonts w:cstheme="minorHAnsi"/>
          <w:color w:val="000000" w:themeColor="text1"/>
          <w:lang w:val="en-GB"/>
        </w:rPr>
        <w:t xml:space="preserve">Sustainable community movement organisations. </w:t>
      </w:r>
      <w:r w:rsidRPr="00AD57C5">
        <w:rPr>
          <w:rFonts w:cstheme="minorHAnsi"/>
          <w:i/>
          <w:iCs/>
          <w:color w:val="000000" w:themeColor="text1"/>
          <w:lang w:val="en-GB"/>
        </w:rPr>
        <w:t>Journal of Consumer Culture</w:t>
      </w:r>
      <w:r w:rsidRPr="00AD57C5">
        <w:rPr>
          <w:rFonts w:cstheme="minorHAnsi"/>
          <w:color w:val="000000" w:themeColor="text1"/>
          <w:lang w:val="en-GB"/>
        </w:rPr>
        <w:t xml:space="preserve">, </w:t>
      </w:r>
      <w:r w:rsidRPr="00AD57C5">
        <w:rPr>
          <w:rFonts w:cstheme="minorHAnsi"/>
          <w:i/>
          <w:iCs/>
          <w:color w:val="000000" w:themeColor="text1"/>
          <w:lang w:val="en-GB"/>
        </w:rPr>
        <w:t>14</w:t>
      </w:r>
      <w:r w:rsidRPr="00AD57C5">
        <w:rPr>
          <w:rFonts w:cstheme="minorHAnsi"/>
          <w:color w:val="000000" w:themeColor="text1"/>
          <w:lang w:val="en-GB"/>
        </w:rPr>
        <w:t>(2), 139-157.</w:t>
      </w:r>
    </w:p>
    <w:p w14:paraId="141D5B79" w14:textId="77777777" w:rsidR="007D3A56" w:rsidRPr="00AD57C5" w:rsidRDefault="007D3A56" w:rsidP="00AD57C5">
      <w:pPr>
        <w:spacing w:before="60" w:after="60"/>
        <w:ind w:firstLine="426"/>
        <w:rPr>
          <w:rFonts w:cstheme="minorHAnsi"/>
          <w:color w:val="000000" w:themeColor="text1"/>
        </w:rPr>
      </w:pPr>
      <w:r w:rsidRPr="00AD57C5">
        <w:rPr>
          <w:rFonts w:cstheme="minorHAnsi"/>
          <w:color w:val="000000" w:themeColor="text1"/>
          <w:lang w:val="en-GB"/>
        </w:rPr>
        <w:t xml:space="preserve">Fraquelli, G., &amp; Menozzi, A. (2014). Spatial Competition in the Italian Retail Grocery Sector: An Exploratory Analysis. </w:t>
      </w:r>
      <w:r w:rsidRPr="00AD57C5">
        <w:rPr>
          <w:rFonts w:cstheme="minorHAnsi"/>
          <w:i/>
          <w:iCs/>
          <w:color w:val="000000" w:themeColor="text1"/>
        </w:rPr>
        <w:t>L'industria</w:t>
      </w:r>
      <w:r w:rsidRPr="00AD57C5">
        <w:rPr>
          <w:rFonts w:cstheme="minorHAnsi"/>
          <w:color w:val="000000" w:themeColor="text1"/>
        </w:rPr>
        <w:t xml:space="preserve">, </w:t>
      </w:r>
      <w:r w:rsidRPr="00AD57C5">
        <w:rPr>
          <w:rFonts w:cstheme="minorHAnsi"/>
          <w:i/>
          <w:iCs/>
          <w:color w:val="000000" w:themeColor="text1"/>
        </w:rPr>
        <w:t>35</w:t>
      </w:r>
      <w:r w:rsidRPr="00AD57C5">
        <w:rPr>
          <w:rFonts w:cstheme="minorHAnsi"/>
          <w:color w:val="000000" w:themeColor="text1"/>
        </w:rPr>
        <w:t>(1), 101-124.</w:t>
      </w:r>
    </w:p>
    <w:p w14:paraId="454ADC0A" w14:textId="77777777" w:rsidR="007D3A56" w:rsidRPr="00AD57C5" w:rsidRDefault="007D3A56" w:rsidP="00AD57C5">
      <w:pPr>
        <w:spacing w:before="60" w:after="60" w:line="276" w:lineRule="auto"/>
        <w:ind w:firstLine="426"/>
        <w:jc w:val="both"/>
        <w:rPr>
          <w:rFonts w:cstheme="minorHAnsi"/>
          <w:color w:val="000000" w:themeColor="text1"/>
          <w:shd w:val="clear" w:color="auto" w:fill="FFFFFF"/>
          <w:lang w:val="en-GB"/>
        </w:rPr>
      </w:pPr>
      <w:r w:rsidRPr="00AD57C5">
        <w:rPr>
          <w:rFonts w:cstheme="minorHAnsi"/>
          <w:color w:val="000000" w:themeColor="text1"/>
          <w:shd w:val="clear" w:color="auto" w:fill="FFFFFF"/>
        </w:rPr>
        <w:t xml:space="preserve">Gallus, S., Lugo, A., Murisic, B., Bosetti, C., Boffetta, P., &amp; La Vecchia, C. (2015). </w:t>
      </w:r>
      <w:r w:rsidRPr="00AD57C5">
        <w:rPr>
          <w:rFonts w:cstheme="minorHAnsi"/>
          <w:color w:val="000000" w:themeColor="text1"/>
          <w:shd w:val="clear" w:color="auto" w:fill="FFFFFF"/>
          <w:lang w:val="en-GB"/>
        </w:rPr>
        <w:t>Overweight and obesity in 16 European countries. </w:t>
      </w:r>
      <w:r w:rsidRPr="00AD57C5">
        <w:rPr>
          <w:rFonts w:cstheme="minorHAnsi"/>
          <w:i/>
          <w:iCs/>
          <w:color w:val="000000" w:themeColor="text1"/>
          <w:shd w:val="clear" w:color="auto" w:fill="FFFFFF"/>
          <w:lang w:val="en-GB"/>
        </w:rPr>
        <w:t>European journal of nutrition</w:t>
      </w:r>
      <w:r w:rsidRPr="00AD57C5">
        <w:rPr>
          <w:rFonts w:cstheme="minorHAnsi"/>
          <w:color w:val="000000" w:themeColor="text1"/>
          <w:shd w:val="clear" w:color="auto" w:fill="FFFFFF"/>
          <w:lang w:val="en-GB"/>
        </w:rPr>
        <w:t>, </w:t>
      </w:r>
      <w:r w:rsidRPr="00AD57C5">
        <w:rPr>
          <w:rFonts w:cstheme="minorHAnsi"/>
          <w:i/>
          <w:iCs/>
          <w:color w:val="000000" w:themeColor="text1"/>
          <w:shd w:val="clear" w:color="auto" w:fill="FFFFFF"/>
          <w:lang w:val="en-GB"/>
        </w:rPr>
        <w:t>54</w:t>
      </w:r>
      <w:r w:rsidRPr="00AD57C5">
        <w:rPr>
          <w:rFonts w:cstheme="minorHAnsi"/>
          <w:color w:val="000000" w:themeColor="text1"/>
          <w:shd w:val="clear" w:color="auto" w:fill="FFFFFF"/>
          <w:lang w:val="en-GB"/>
        </w:rPr>
        <w:t>(5), 679-689.</w:t>
      </w:r>
    </w:p>
    <w:p w14:paraId="63E8567B" w14:textId="77777777" w:rsidR="007D3A56" w:rsidRPr="007D3A56" w:rsidRDefault="007D3A56" w:rsidP="00AD57C5">
      <w:pPr>
        <w:spacing w:before="60" w:after="60"/>
        <w:ind w:firstLine="426"/>
        <w:rPr>
          <w:rFonts w:cstheme="minorHAnsi"/>
          <w:color w:val="000000" w:themeColor="text1"/>
          <w:lang w:val="en-GB"/>
        </w:rPr>
      </w:pPr>
      <w:r w:rsidRPr="007D3A56">
        <w:rPr>
          <w:rFonts w:cstheme="minorHAnsi"/>
          <w:color w:val="000000" w:themeColor="text1"/>
          <w:lang w:val="en-GB"/>
        </w:rPr>
        <w:t xml:space="preserve">Goodman, D. (2004). Rural Europe redux? Reflections on alternative agro‐food networks and paradigm change. </w:t>
      </w:r>
      <w:r w:rsidRPr="007D3A56">
        <w:rPr>
          <w:rFonts w:cstheme="minorHAnsi"/>
          <w:i/>
          <w:color w:val="000000" w:themeColor="text1"/>
          <w:lang w:val="en-GB"/>
        </w:rPr>
        <w:t>Sociologia ruralis</w:t>
      </w:r>
      <w:r w:rsidRPr="007D3A56">
        <w:rPr>
          <w:rFonts w:cstheme="minorHAnsi"/>
          <w:color w:val="000000" w:themeColor="text1"/>
          <w:lang w:val="en-GB"/>
        </w:rPr>
        <w:t>, 44(1), 3-16.</w:t>
      </w:r>
    </w:p>
    <w:p w14:paraId="634A8745" w14:textId="77777777" w:rsidR="007D3A56" w:rsidRPr="00AD57C5" w:rsidRDefault="007D3A56" w:rsidP="00AD57C5">
      <w:pPr>
        <w:spacing w:before="60" w:after="60"/>
        <w:ind w:firstLine="426"/>
        <w:rPr>
          <w:rFonts w:cstheme="minorHAnsi"/>
          <w:color w:val="000000" w:themeColor="text1"/>
          <w:lang w:val="en-GB"/>
        </w:rPr>
      </w:pPr>
      <w:r w:rsidRPr="00AD57C5">
        <w:rPr>
          <w:rFonts w:cstheme="minorHAnsi"/>
          <w:color w:val="000000" w:themeColor="text1"/>
          <w:lang w:val="en-GB"/>
        </w:rPr>
        <w:t xml:space="preserve">Grasseni, C. (2013). </w:t>
      </w:r>
      <w:r w:rsidRPr="00AD57C5">
        <w:rPr>
          <w:rFonts w:cstheme="minorHAnsi"/>
          <w:i/>
          <w:iCs/>
          <w:color w:val="000000" w:themeColor="text1"/>
          <w:lang w:val="en-GB"/>
        </w:rPr>
        <w:t>Beyond alternative food networks: Italy’s solidarity purchase groups</w:t>
      </w:r>
      <w:r w:rsidRPr="00AD57C5">
        <w:rPr>
          <w:rFonts w:cstheme="minorHAnsi"/>
          <w:color w:val="000000" w:themeColor="text1"/>
          <w:lang w:val="en-GB"/>
        </w:rPr>
        <w:t xml:space="preserve">. </w:t>
      </w:r>
      <w:r w:rsidRPr="0063598B">
        <w:rPr>
          <w:rFonts w:cstheme="minorHAnsi"/>
          <w:color w:val="000000" w:themeColor="text1"/>
          <w:lang w:val="en-GB"/>
        </w:rPr>
        <w:t>A&amp;C Black.</w:t>
      </w:r>
    </w:p>
    <w:p w14:paraId="3D34530F" w14:textId="16F7E709" w:rsidR="007D3A56" w:rsidRDefault="007D3A56" w:rsidP="00AD57C5">
      <w:pPr>
        <w:spacing w:before="60" w:after="60"/>
        <w:ind w:firstLine="426"/>
        <w:rPr>
          <w:rFonts w:cstheme="minorHAnsi"/>
          <w:color w:val="000000" w:themeColor="text1"/>
          <w:lang w:val="en-GB"/>
        </w:rPr>
      </w:pPr>
      <w:r w:rsidRPr="00BE5D43">
        <w:rPr>
          <w:rFonts w:cstheme="minorHAnsi"/>
          <w:color w:val="000000" w:themeColor="text1"/>
          <w:lang w:val="en-GB"/>
        </w:rPr>
        <w:t xml:space="preserve">Graziano, P. R., &amp; Forno, F. (2012). Political consumerism and new forms of political participation: The Gruppi di Acquisto Solidale in Italy. </w:t>
      </w:r>
      <w:r w:rsidRPr="00AD57C5">
        <w:rPr>
          <w:rFonts w:cstheme="minorHAnsi"/>
          <w:i/>
          <w:iCs/>
          <w:color w:val="000000" w:themeColor="text1"/>
          <w:lang w:val="en-GB"/>
        </w:rPr>
        <w:t>The ANNALS of the American Academy of Political and Social Science</w:t>
      </w:r>
      <w:r w:rsidRPr="00AD57C5">
        <w:rPr>
          <w:rFonts w:cstheme="minorHAnsi"/>
          <w:color w:val="000000" w:themeColor="text1"/>
          <w:lang w:val="en-GB"/>
        </w:rPr>
        <w:t xml:space="preserve">, </w:t>
      </w:r>
      <w:r w:rsidRPr="00AD57C5">
        <w:rPr>
          <w:rFonts w:cstheme="minorHAnsi"/>
          <w:i/>
          <w:iCs/>
          <w:color w:val="000000" w:themeColor="text1"/>
          <w:lang w:val="en-GB"/>
        </w:rPr>
        <w:t>644</w:t>
      </w:r>
      <w:r w:rsidRPr="00AD57C5">
        <w:rPr>
          <w:rFonts w:cstheme="minorHAnsi"/>
          <w:color w:val="000000" w:themeColor="text1"/>
          <w:lang w:val="en-GB"/>
        </w:rPr>
        <w:t>(1), 121-133.</w:t>
      </w:r>
    </w:p>
    <w:p w14:paraId="3F66F02E" w14:textId="62130D9E" w:rsidR="005A19C8" w:rsidRPr="005A19C8" w:rsidRDefault="005A19C8" w:rsidP="005A19C8">
      <w:pPr>
        <w:spacing w:before="60" w:after="60"/>
        <w:rPr>
          <w:rFonts w:cstheme="minorHAnsi"/>
          <w:color w:val="000000" w:themeColor="text1"/>
          <w:lang w:val="en-GB"/>
        </w:rPr>
      </w:pPr>
      <w:r w:rsidRPr="008770F0">
        <w:rPr>
          <w:rFonts w:cstheme="minorHAnsi"/>
          <w:color w:val="000000" w:themeColor="text1"/>
        </w:rPr>
        <w:t xml:space="preserve">Istat (2017). Cittadini, Imprese e ICT. </w:t>
      </w:r>
      <w:r>
        <w:rPr>
          <w:rFonts w:cstheme="minorHAnsi"/>
          <w:color w:val="000000" w:themeColor="text1"/>
          <w:lang w:val="en-GB"/>
        </w:rPr>
        <w:t>Available at:</w:t>
      </w:r>
      <w:r w:rsidRPr="005A19C8">
        <w:rPr>
          <w:rFonts w:cstheme="minorHAnsi"/>
          <w:color w:val="000000" w:themeColor="text1"/>
          <w:lang w:val="en-GB"/>
        </w:rPr>
        <w:t xml:space="preserve"> https://www.istat.it/it/files/2017/12/ICT_Anno2017.pdf</w:t>
      </w:r>
    </w:p>
    <w:p w14:paraId="1B633CFE" w14:textId="77777777" w:rsidR="007D3A56" w:rsidRPr="00BE5D43" w:rsidRDefault="007D3A56" w:rsidP="00AD57C5">
      <w:pPr>
        <w:spacing w:before="60" w:after="60"/>
        <w:ind w:firstLine="426"/>
        <w:rPr>
          <w:rFonts w:cstheme="minorHAnsi"/>
          <w:color w:val="000000" w:themeColor="text1"/>
          <w:lang w:val="en-GB"/>
        </w:rPr>
      </w:pPr>
      <w:r w:rsidRPr="00AD57C5">
        <w:rPr>
          <w:rStyle w:val="CitazioneHTML"/>
          <w:rFonts w:cstheme="minorHAnsi"/>
          <w:i w:val="0"/>
          <w:iCs w:val="0"/>
          <w:color w:val="000000" w:themeColor="text1"/>
          <w:lang w:val="en-GB"/>
        </w:rPr>
        <w:t xml:space="preserve">Jarosz L (2008) The city in the country: growing alternative food networks in metropolitan areas. </w:t>
      </w:r>
      <w:r w:rsidRPr="00BE5D43">
        <w:rPr>
          <w:rStyle w:val="CitazioneHTML"/>
          <w:rFonts w:cstheme="minorHAnsi"/>
          <w:i w:val="0"/>
          <w:iCs w:val="0"/>
          <w:color w:val="000000" w:themeColor="text1"/>
          <w:lang w:val="en-GB"/>
        </w:rPr>
        <w:t>J Rural Stud 24(3):231–244</w:t>
      </w:r>
      <w:r w:rsidRPr="00BE5D43">
        <w:rPr>
          <w:rFonts w:cstheme="minorHAnsi"/>
          <w:color w:val="000000" w:themeColor="text1"/>
          <w:lang w:val="en-GB"/>
        </w:rPr>
        <w:t xml:space="preserve"> </w:t>
      </w:r>
    </w:p>
    <w:p w14:paraId="4927AE3F" w14:textId="77777777" w:rsidR="007D3A56" w:rsidRPr="00AD57C5" w:rsidRDefault="007D3A56" w:rsidP="00AD57C5">
      <w:pPr>
        <w:spacing w:before="60" w:after="60" w:line="276" w:lineRule="auto"/>
        <w:ind w:firstLine="426"/>
        <w:jc w:val="both"/>
        <w:rPr>
          <w:rFonts w:cstheme="minorHAnsi"/>
          <w:color w:val="000000" w:themeColor="text1"/>
          <w:lang w:val="en-GB"/>
        </w:rPr>
      </w:pPr>
      <w:r w:rsidRPr="00AD57C5">
        <w:rPr>
          <w:rFonts w:cstheme="minorHAnsi"/>
          <w:color w:val="000000" w:themeColor="text1"/>
          <w:lang w:val="en-GB"/>
        </w:rPr>
        <w:t xml:space="preserve">Johnston, J., &amp; Baumann, S. (2010). </w:t>
      </w:r>
      <w:r w:rsidRPr="00AD57C5">
        <w:rPr>
          <w:rFonts w:cstheme="minorHAnsi"/>
          <w:i/>
          <w:color w:val="000000" w:themeColor="text1"/>
          <w:lang w:val="en-GB"/>
        </w:rPr>
        <w:t>Foodies: Democracy and distinction in the gourmet foodscape</w:t>
      </w:r>
      <w:r w:rsidRPr="00AD57C5">
        <w:rPr>
          <w:rFonts w:cstheme="minorHAnsi"/>
          <w:color w:val="000000" w:themeColor="text1"/>
          <w:lang w:val="en-GB"/>
        </w:rPr>
        <w:t>. New York: Routledge.</w:t>
      </w:r>
    </w:p>
    <w:p w14:paraId="125475CA" w14:textId="77777777" w:rsidR="007D3A56" w:rsidRPr="00AD57C5" w:rsidRDefault="007D3A56" w:rsidP="00AD57C5">
      <w:pPr>
        <w:spacing w:before="60" w:after="60" w:line="276" w:lineRule="auto"/>
        <w:ind w:firstLine="426"/>
        <w:jc w:val="both"/>
        <w:rPr>
          <w:rFonts w:cstheme="minorHAnsi"/>
          <w:color w:val="000000" w:themeColor="text1"/>
          <w:lang w:val="en-GB"/>
        </w:rPr>
      </w:pPr>
      <w:r w:rsidRPr="00AD57C5">
        <w:rPr>
          <w:rFonts w:cstheme="minorHAnsi"/>
          <w:color w:val="000000" w:themeColor="text1"/>
          <w:shd w:val="clear" w:color="auto" w:fill="FFFFFF"/>
          <w:lang w:val="en-GB"/>
        </w:rPr>
        <w:t>Lizardo, O., &amp; Skiles, S. (2015) After omnivorousness. In Hanquinet, L. &amp; Savage, M. (Eds.) </w:t>
      </w:r>
      <w:r w:rsidRPr="00AD57C5">
        <w:rPr>
          <w:rFonts w:cstheme="minorHAnsi"/>
          <w:i/>
          <w:iCs/>
          <w:color w:val="000000" w:themeColor="text1"/>
          <w:shd w:val="clear" w:color="auto" w:fill="FFFFFF"/>
          <w:lang w:val="en-GB"/>
        </w:rPr>
        <w:t>Routledge International Handbook of the Sociology of Art and Culture</w:t>
      </w:r>
      <w:r w:rsidRPr="00AD57C5">
        <w:rPr>
          <w:rFonts w:cstheme="minorHAnsi"/>
          <w:color w:val="000000" w:themeColor="text1"/>
          <w:shd w:val="clear" w:color="auto" w:fill="FFFFFF"/>
          <w:lang w:val="en-GB"/>
        </w:rPr>
        <w:t>, 90-103.</w:t>
      </w:r>
    </w:p>
    <w:p w14:paraId="4D378420" w14:textId="77777777" w:rsidR="007D3A56" w:rsidRPr="00BE5D43" w:rsidRDefault="007D3A56" w:rsidP="00AD57C5">
      <w:pPr>
        <w:autoSpaceDE w:val="0"/>
        <w:autoSpaceDN w:val="0"/>
        <w:adjustRightInd w:val="0"/>
        <w:spacing w:before="60" w:after="60" w:line="240" w:lineRule="auto"/>
        <w:ind w:firstLine="426"/>
        <w:rPr>
          <w:rFonts w:cstheme="minorHAnsi"/>
          <w:color w:val="000000" w:themeColor="text1"/>
        </w:rPr>
      </w:pPr>
      <w:r w:rsidRPr="00AD57C5">
        <w:rPr>
          <w:rFonts w:cstheme="minorHAnsi"/>
          <w:color w:val="000000" w:themeColor="text1"/>
        </w:rPr>
        <w:t xml:space="preserve">Maida, B. (2009). </w:t>
      </w:r>
      <w:r w:rsidRPr="00AD57C5">
        <w:rPr>
          <w:rFonts w:cstheme="minorHAnsi"/>
          <w:i/>
          <w:color w:val="000000" w:themeColor="text1"/>
        </w:rPr>
        <w:t>Proletari della Borghesia. I piccoli commercianti dall’unità ad oggi</w:t>
      </w:r>
      <w:r w:rsidRPr="00AD57C5">
        <w:rPr>
          <w:rFonts w:cstheme="minorHAnsi"/>
          <w:color w:val="000000" w:themeColor="text1"/>
        </w:rPr>
        <w:t xml:space="preserve">. </w:t>
      </w:r>
      <w:r w:rsidRPr="00BE5D43">
        <w:rPr>
          <w:rFonts w:cstheme="minorHAnsi"/>
          <w:color w:val="000000" w:themeColor="text1"/>
        </w:rPr>
        <w:t xml:space="preserve">Carrocci. </w:t>
      </w:r>
    </w:p>
    <w:p w14:paraId="65D48CE0" w14:textId="7101C5EB" w:rsidR="007D3A56" w:rsidRPr="00BE5D43" w:rsidRDefault="007D3A56" w:rsidP="00AD57C5">
      <w:pPr>
        <w:spacing w:before="60" w:after="60"/>
        <w:ind w:firstLine="426"/>
        <w:rPr>
          <w:rFonts w:cstheme="minorHAnsi"/>
          <w:color w:val="000000" w:themeColor="text1"/>
          <w:lang w:val="en-GB"/>
        </w:rPr>
      </w:pPr>
      <w:r w:rsidRPr="00AD57C5">
        <w:rPr>
          <w:rFonts w:cstheme="minorHAnsi"/>
          <w:color w:val="000000" w:themeColor="text1"/>
        </w:rPr>
        <w:t xml:space="preserve">Marino, D. (Ed.). (2017). </w:t>
      </w:r>
      <w:r w:rsidRPr="00AD57C5">
        <w:rPr>
          <w:rFonts w:cstheme="minorHAnsi"/>
          <w:i/>
          <w:iCs/>
          <w:color w:val="000000" w:themeColor="text1"/>
        </w:rPr>
        <w:t>Agricoltura urbana e filiere corte: Un quadro della realtà italiana</w:t>
      </w:r>
      <w:r w:rsidRPr="00AD57C5">
        <w:rPr>
          <w:rFonts w:cstheme="minorHAnsi"/>
          <w:color w:val="000000" w:themeColor="text1"/>
        </w:rPr>
        <w:t xml:space="preserve">. </w:t>
      </w:r>
      <w:r w:rsidRPr="00BE5D43">
        <w:rPr>
          <w:rFonts w:cstheme="minorHAnsi"/>
          <w:color w:val="000000" w:themeColor="text1"/>
          <w:lang w:val="en-GB"/>
        </w:rPr>
        <w:t>FrancoAngeli.</w:t>
      </w:r>
    </w:p>
    <w:p w14:paraId="6C12C486" w14:textId="48ABB0AE" w:rsidR="005A5E0B" w:rsidRPr="00BE5D43" w:rsidRDefault="005A5E0B" w:rsidP="00AD57C5">
      <w:pPr>
        <w:spacing w:before="60" w:after="60"/>
        <w:ind w:firstLine="426"/>
        <w:rPr>
          <w:rFonts w:cstheme="minorHAnsi"/>
          <w:color w:val="000000" w:themeColor="text1"/>
          <w:lang w:val="en-GB"/>
        </w:rPr>
      </w:pPr>
      <w:r w:rsidRPr="005A5E0B">
        <w:rPr>
          <w:rFonts w:cstheme="minorHAnsi"/>
          <w:color w:val="000000" w:themeColor="text1"/>
          <w:lang w:val="en-GB"/>
        </w:rPr>
        <w:t>McEachern, M. G., &amp; Mcclean, P. (2002). Organic purchasing motivations a</w:t>
      </w:r>
      <w:r>
        <w:rPr>
          <w:rFonts w:cstheme="minorHAnsi"/>
          <w:color w:val="000000" w:themeColor="text1"/>
          <w:lang w:val="en-GB"/>
        </w:rPr>
        <w:t>nd attitudes: are they ethical?</w:t>
      </w:r>
      <w:r w:rsidRPr="005A5E0B">
        <w:rPr>
          <w:rFonts w:cstheme="minorHAnsi"/>
          <w:color w:val="000000" w:themeColor="text1"/>
          <w:lang w:val="en-GB"/>
        </w:rPr>
        <w:t xml:space="preserve"> </w:t>
      </w:r>
      <w:r w:rsidRPr="00BE5D43">
        <w:rPr>
          <w:rFonts w:cstheme="minorHAnsi"/>
          <w:i/>
          <w:color w:val="000000" w:themeColor="text1"/>
          <w:lang w:val="en-GB"/>
        </w:rPr>
        <w:t>International journal of consumer studies</w:t>
      </w:r>
      <w:r w:rsidRPr="00BE5D43">
        <w:rPr>
          <w:rFonts w:cstheme="minorHAnsi"/>
          <w:color w:val="000000" w:themeColor="text1"/>
          <w:lang w:val="en-GB"/>
        </w:rPr>
        <w:t>, 26(2), 85-92.</w:t>
      </w:r>
    </w:p>
    <w:p w14:paraId="262D51A2" w14:textId="77777777" w:rsidR="007D3A56" w:rsidRPr="00BE5D43" w:rsidRDefault="007D3A56" w:rsidP="00AD57C5">
      <w:pPr>
        <w:autoSpaceDE w:val="0"/>
        <w:autoSpaceDN w:val="0"/>
        <w:adjustRightInd w:val="0"/>
        <w:spacing w:before="60" w:after="60" w:line="240" w:lineRule="auto"/>
        <w:ind w:firstLine="426"/>
        <w:rPr>
          <w:rFonts w:cstheme="minorHAnsi"/>
          <w:color w:val="000000" w:themeColor="text1"/>
          <w:lang w:val="en-GB"/>
        </w:rPr>
      </w:pPr>
      <w:r w:rsidRPr="00AD57C5">
        <w:rPr>
          <w:rFonts w:cstheme="minorHAnsi"/>
          <w:color w:val="000000" w:themeColor="text1"/>
          <w:lang w:val="en-GB"/>
        </w:rPr>
        <w:t xml:space="preserve">Muller, P., Julius, J., Herr, D., Koch, L., Peycheva, V., McKiernan, S. (2017) </w:t>
      </w:r>
      <w:r w:rsidRPr="00AD57C5">
        <w:rPr>
          <w:rFonts w:cstheme="minorHAnsi"/>
          <w:i/>
          <w:color w:val="000000" w:themeColor="text1"/>
          <w:lang w:val="en-GB"/>
        </w:rPr>
        <w:t xml:space="preserve">Annual Report on European SMEs. </w:t>
      </w:r>
      <w:r w:rsidRPr="00BE5D43">
        <w:rPr>
          <w:rFonts w:cstheme="minorHAnsi"/>
          <w:i/>
          <w:color w:val="000000" w:themeColor="text1"/>
          <w:lang w:val="en-GB"/>
        </w:rPr>
        <w:t>Focus on self-employment 2016/2017</w:t>
      </w:r>
      <w:r w:rsidRPr="00BE5D43">
        <w:rPr>
          <w:rFonts w:cstheme="minorHAnsi"/>
          <w:color w:val="000000" w:themeColor="text1"/>
          <w:lang w:val="en-GB"/>
        </w:rPr>
        <w:t xml:space="preserve">. European Commission. </w:t>
      </w:r>
    </w:p>
    <w:p w14:paraId="33A168AD" w14:textId="77777777" w:rsidR="007D3A56" w:rsidRPr="00AD57C5" w:rsidRDefault="007D3A56" w:rsidP="00AD57C5">
      <w:pPr>
        <w:spacing w:before="60" w:after="60" w:line="276" w:lineRule="auto"/>
        <w:ind w:firstLine="426"/>
        <w:jc w:val="both"/>
        <w:rPr>
          <w:rFonts w:cstheme="minorHAnsi"/>
          <w:color w:val="000000" w:themeColor="text1"/>
          <w:lang w:val="en-GB"/>
        </w:rPr>
      </w:pPr>
      <w:r w:rsidRPr="00AD57C5">
        <w:rPr>
          <w:rFonts w:cstheme="minorHAnsi"/>
          <w:color w:val="000000" w:themeColor="text1"/>
          <w:lang w:val="en-GB"/>
        </w:rPr>
        <w:t xml:space="preserve">O’Connell, R. (2010). (How) is childminding family like? Family day care, food and the reproduction of identity at the public/private interface. </w:t>
      </w:r>
      <w:r w:rsidRPr="00AD57C5">
        <w:rPr>
          <w:rFonts w:cstheme="minorHAnsi"/>
          <w:i/>
          <w:color w:val="000000" w:themeColor="text1"/>
          <w:lang w:val="en-GB"/>
        </w:rPr>
        <w:t>The Sociological Review</w:t>
      </w:r>
      <w:r w:rsidRPr="00AD57C5">
        <w:rPr>
          <w:rFonts w:cstheme="minorHAnsi"/>
          <w:color w:val="000000" w:themeColor="text1"/>
          <w:lang w:val="en-GB"/>
        </w:rPr>
        <w:t>, 58(4), 563-586.</w:t>
      </w:r>
    </w:p>
    <w:p w14:paraId="523990DC" w14:textId="77777777" w:rsidR="007D3A56" w:rsidRPr="00AD57C5" w:rsidRDefault="007D3A56" w:rsidP="00AD57C5">
      <w:pPr>
        <w:spacing w:before="60" w:after="60"/>
        <w:ind w:firstLine="426"/>
        <w:rPr>
          <w:rFonts w:cstheme="minorHAnsi"/>
          <w:color w:val="000000" w:themeColor="text1"/>
          <w:lang w:val="en-GB"/>
        </w:rPr>
      </w:pPr>
      <w:r w:rsidRPr="0063598B">
        <w:rPr>
          <w:rFonts w:cstheme="minorHAnsi"/>
          <w:color w:val="000000" w:themeColor="text1"/>
          <w:lang w:val="en-GB"/>
        </w:rPr>
        <w:t xml:space="preserve">Osservatori (2016). L’appetito vien comprando. </w:t>
      </w:r>
      <w:r w:rsidRPr="00AD57C5">
        <w:rPr>
          <w:rFonts w:cstheme="minorHAnsi"/>
          <w:color w:val="000000" w:themeColor="text1"/>
          <w:lang w:val="en-GB"/>
        </w:rPr>
        <w:t>Osservatori.net, available at: https://www.osservatori.net/it_it/catalogsearch/result/?q=food&amp;format=all</w:t>
      </w:r>
    </w:p>
    <w:p w14:paraId="057723DD" w14:textId="77777777" w:rsidR="007D3A56" w:rsidRPr="00BE5D43" w:rsidRDefault="007D3A56" w:rsidP="00AD57C5">
      <w:pPr>
        <w:spacing w:before="60" w:after="60" w:line="276" w:lineRule="auto"/>
        <w:ind w:firstLine="426"/>
        <w:jc w:val="both"/>
        <w:rPr>
          <w:rFonts w:cstheme="minorHAnsi"/>
          <w:color w:val="000000" w:themeColor="text1"/>
        </w:rPr>
      </w:pPr>
      <w:r w:rsidRPr="00AD57C5">
        <w:rPr>
          <w:rFonts w:cstheme="minorHAnsi"/>
          <w:color w:val="000000" w:themeColor="text1"/>
          <w:lang w:val="en-GB"/>
        </w:rPr>
        <w:t xml:space="preserve">Paddock, J. (2016). Positioning food cultures: ‘Alternative’ food as distinctive consumer practice. </w:t>
      </w:r>
      <w:r w:rsidRPr="00BE5D43">
        <w:rPr>
          <w:rFonts w:cstheme="minorHAnsi"/>
          <w:i/>
          <w:color w:val="000000" w:themeColor="text1"/>
        </w:rPr>
        <w:t>Sociology</w:t>
      </w:r>
      <w:r w:rsidRPr="00BE5D43">
        <w:rPr>
          <w:rFonts w:cstheme="minorHAnsi"/>
          <w:color w:val="000000" w:themeColor="text1"/>
        </w:rPr>
        <w:t>, 50(6), 1039-1055.</w:t>
      </w:r>
    </w:p>
    <w:p w14:paraId="46A783E4" w14:textId="77777777" w:rsidR="007D3A56" w:rsidRPr="00AD57C5" w:rsidRDefault="007D3A56" w:rsidP="00AD57C5">
      <w:pPr>
        <w:spacing w:before="60" w:after="60"/>
        <w:ind w:firstLine="426"/>
        <w:rPr>
          <w:rFonts w:cstheme="minorHAnsi"/>
          <w:color w:val="000000" w:themeColor="text1"/>
        </w:rPr>
      </w:pPr>
      <w:r w:rsidRPr="00AD57C5">
        <w:rPr>
          <w:rFonts w:cstheme="minorHAnsi"/>
          <w:color w:val="000000" w:themeColor="text1"/>
        </w:rPr>
        <w:t xml:space="preserve">Pellegrini, L., &amp; Zanderighi, L. (2013). </w:t>
      </w:r>
      <w:r w:rsidRPr="00AD57C5">
        <w:rPr>
          <w:rFonts w:cstheme="minorHAnsi"/>
          <w:i/>
          <w:iCs/>
          <w:color w:val="000000" w:themeColor="text1"/>
        </w:rPr>
        <w:t>Il sistema distributivo italiano: dalla regolazione al mercato</w:t>
      </w:r>
      <w:r w:rsidRPr="00AD57C5">
        <w:rPr>
          <w:rFonts w:cstheme="minorHAnsi"/>
          <w:color w:val="000000" w:themeColor="text1"/>
        </w:rPr>
        <w:t>. Il mulino.</w:t>
      </w:r>
    </w:p>
    <w:p w14:paraId="237B9AEC" w14:textId="77777777" w:rsidR="007D3A56" w:rsidRPr="00BE5D43" w:rsidRDefault="007D3A56" w:rsidP="00AD57C5">
      <w:pPr>
        <w:spacing w:before="60" w:after="60"/>
        <w:ind w:firstLine="426"/>
        <w:rPr>
          <w:rFonts w:cstheme="minorHAnsi"/>
          <w:color w:val="000000" w:themeColor="text1"/>
        </w:rPr>
      </w:pPr>
      <w:r w:rsidRPr="00AD57C5">
        <w:rPr>
          <w:rFonts w:cstheme="minorHAnsi"/>
          <w:color w:val="000000" w:themeColor="text1"/>
        </w:rPr>
        <w:t xml:space="preserve">Rete Rurale Nazionale (2016). Vendita online e logistica distributiva innovativa. </w:t>
      </w:r>
      <w:r w:rsidRPr="00BE5D43">
        <w:rPr>
          <w:rFonts w:cstheme="minorHAnsi"/>
          <w:color w:val="000000" w:themeColor="text1"/>
        </w:rPr>
        <w:t xml:space="preserve">I modelli di riferimento in agricoltura. Mipaaf. </w:t>
      </w:r>
    </w:p>
    <w:p w14:paraId="57F30216" w14:textId="77777777" w:rsidR="007D3A56" w:rsidRPr="00AD57C5" w:rsidRDefault="007D3A56" w:rsidP="00AD57C5">
      <w:pPr>
        <w:spacing w:before="60" w:after="60"/>
        <w:ind w:firstLine="426"/>
        <w:rPr>
          <w:rFonts w:cstheme="minorHAnsi"/>
          <w:color w:val="000000" w:themeColor="text1"/>
        </w:rPr>
      </w:pPr>
      <w:r w:rsidRPr="00AD57C5">
        <w:rPr>
          <w:rFonts w:cstheme="minorHAnsi"/>
          <w:color w:val="000000" w:themeColor="text1"/>
        </w:rPr>
        <w:t xml:space="preserve">Rete Rurale Nazionale (2017). Opportunità e minacce per la filiera corta e la vendita diretta in Italia. Mipaaf. </w:t>
      </w:r>
    </w:p>
    <w:p w14:paraId="20A3E23B" w14:textId="77777777" w:rsidR="007D3A56" w:rsidRPr="007D3A56" w:rsidRDefault="007D3A56" w:rsidP="00AD57C5">
      <w:pPr>
        <w:spacing w:before="60" w:after="60" w:line="276" w:lineRule="auto"/>
        <w:ind w:firstLine="426"/>
        <w:jc w:val="both"/>
        <w:rPr>
          <w:rFonts w:cstheme="minorHAnsi"/>
          <w:color w:val="000000" w:themeColor="text1"/>
          <w:lang w:val="en-GB"/>
        </w:rPr>
      </w:pPr>
      <w:r w:rsidRPr="00AD57C5">
        <w:rPr>
          <w:rFonts w:cstheme="minorHAnsi"/>
          <w:color w:val="000000" w:themeColor="text1"/>
        </w:rPr>
        <w:t xml:space="preserve">Scarpellini, E. (2007). </w:t>
      </w:r>
      <w:r w:rsidRPr="00AD57C5">
        <w:rPr>
          <w:rFonts w:cstheme="minorHAnsi"/>
          <w:i/>
          <w:iCs/>
          <w:color w:val="000000" w:themeColor="text1"/>
        </w:rPr>
        <w:t>La spesa è uguale per tutti: l'avventura dei supermercati in Italia</w:t>
      </w:r>
      <w:r w:rsidRPr="00AD57C5">
        <w:rPr>
          <w:rFonts w:cstheme="minorHAnsi"/>
          <w:color w:val="000000" w:themeColor="text1"/>
        </w:rPr>
        <w:t xml:space="preserve">. </w:t>
      </w:r>
      <w:r w:rsidRPr="007D3A56">
        <w:rPr>
          <w:rFonts w:cstheme="minorHAnsi"/>
          <w:color w:val="000000" w:themeColor="text1"/>
          <w:lang w:val="en-GB"/>
        </w:rPr>
        <w:t>Marsilio.</w:t>
      </w:r>
    </w:p>
    <w:p w14:paraId="4A2ABBE9" w14:textId="77777777" w:rsidR="007D3A56" w:rsidRPr="00BE5D43" w:rsidRDefault="007D3A56" w:rsidP="00AD57C5">
      <w:pPr>
        <w:spacing w:before="60" w:after="60" w:line="276" w:lineRule="auto"/>
        <w:ind w:firstLine="426"/>
        <w:jc w:val="both"/>
        <w:rPr>
          <w:rFonts w:cstheme="minorHAnsi"/>
          <w:color w:val="000000" w:themeColor="text1"/>
          <w:lang w:val="en-GB"/>
        </w:rPr>
      </w:pPr>
      <w:r w:rsidRPr="00AD57C5">
        <w:rPr>
          <w:rFonts w:cstheme="minorHAnsi"/>
          <w:color w:val="000000" w:themeColor="text1"/>
          <w:lang w:val="en-GB"/>
        </w:rPr>
        <w:t xml:space="preserve">Valentine, G. (1999). Eating in: Home, consumption and identity. </w:t>
      </w:r>
      <w:r w:rsidRPr="00BE5D43">
        <w:rPr>
          <w:rFonts w:cstheme="minorHAnsi"/>
          <w:i/>
          <w:color w:val="000000" w:themeColor="text1"/>
          <w:lang w:val="en-GB"/>
        </w:rPr>
        <w:t>The</w:t>
      </w:r>
      <w:r w:rsidRPr="00BE5D43">
        <w:rPr>
          <w:rFonts w:cstheme="minorHAnsi"/>
          <w:color w:val="000000" w:themeColor="text1"/>
          <w:lang w:val="en-GB"/>
        </w:rPr>
        <w:t xml:space="preserve"> </w:t>
      </w:r>
      <w:r w:rsidRPr="00BE5D43">
        <w:rPr>
          <w:rFonts w:cstheme="minorHAnsi"/>
          <w:i/>
          <w:color w:val="000000" w:themeColor="text1"/>
          <w:lang w:val="en-GB"/>
        </w:rPr>
        <w:t>Sociological Review</w:t>
      </w:r>
      <w:r w:rsidRPr="00BE5D43">
        <w:rPr>
          <w:rFonts w:cstheme="minorHAnsi"/>
          <w:color w:val="000000" w:themeColor="text1"/>
          <w:lang w:val="en-GB"/>
        </w:rPr>
        <w:t>, 47(3), 491-524.</w:t>
      </w:r>
    </w:p>
    <w:p w14:paraId="6477C89D" w14:textId="77777777" w:rsidR="007D3A56" w:rsidRPr="00BE5D43" w:rsidRDefault="007D3A56" w:rsidP="00AD57C5">
      <w:pPr>
        <w:spacing w:before="60" w:after="60"/>
        <w:ind w:firstLine="426"/>
        <w:rPr>
          <w:rFonts w:cstheme="minorHAnsi"/>
          <w:color w:val="000000" w:themeColor="text1"/>
          <w:lang w:val="en-GB"/>
        </w:rPr>
      </w:pPr>
      <w:r w:rsidRPr="00AD57C5">
        <w:rPr>
          <w:rFonts w:cstheme="minorHAnsi"/>
          <w:color w:val="000000" w:themeColor="text1"/>
        </w:rPr>
        <w:t xml:space="preserve">Ventura, F., Schiavelli, A., &amp; Milone, P. (2016). </w:t>
      </w:r>
      <w:r w:rsidRPr="00AD57C5">
        <w:rPr>
          <w:rFonts w:cstheme="minorHAnsi"/>
          <w:i/>
          <w:iCs/>
          <w:color w:val="000000" w:themeColor="text1"/>
        </w:rPr>
        <w:t>Direct food: agricoltori e consumatori alla riconquista del mercato</w:t>
      </w:r>
      <w:r w:rsidRPr="00AD57C5">
        <w:rPr>
          <w:rFonts w:cstheme="minorHAnsi"/>
          <w:color w:val="000000" w:themeColor="text1"/>
        </w:rPr>
        <w:t xml:space="preserve">. </w:t>
      </w:r>
      <w:r w:rsidRPr="00BE5D43">
        <w:rPr>
          <w:rFonts w:cstheme="minorHAnsi"/>
          <w:color w:val="000000" w:themeColor="text1"/>
          <w:lang w:val="en-GB"/>
        </w:rPr>
        <w:t>Donzelli editore.</w:t>
      </w:r>
    </w:p>
    <w:p w14:paraId="6258093F" w14:textId="77777777" w:rsidR="007D3A56" w:rsidRPr="00AD57C5" w:rsidRDefault="007D3A56" w:rsidP="00AD57C5">
      <w:pPr>
        <w:spacing w:before="60" w:after="60" w:line="276" w:lineRule="auto"/>
        <w:ind w:firstLine="426"/>
        <w:jc w:val="both"/>
        <w:rPr>
          <w:rFonts w:cstheme="minorHAnsi"/>
          <w:color w:val="000000" w:themeColor="text1"/>
          <w:lang w:val="en-GB"/>
        </w:rPr>
      </w:pPr>
      <w:r w:rsidRPr="00AD57C5">
        <w:rPr>
          <w:rFonts w:cstheme="minorHAnsi"/>
          <w:color w:val="000000" w:themeColor="text1"/>
          <w:lang w:val="en-GB"/>
        </w:rPr>
        <w:lastRenderedPageBreak/>
        <w:t>Warde, A. (1997). Consumption, food, and taste. Culinary antinomies and commodity culture. London: Thousand Oaks.</w:t>
      </w:r>
    </w:p>
    <w:p w14:paraId="6667AA66" w14:textId="77777777" w:rsidR="007D3A56" w:rsidRPr="00AD57C5" w:rsidRDefault="007D3A56" w:rsidP="00AD57C5">
      <w:pPr>
        <w:spacing w:before="60" w:after="60" w:line="276" w:lineRule="auto"/>
        <w:ind w:firstLine="426"/>
        <w:jc w:val="both"/>
        <w:rPr>
          <w:rFonts w:cstheme="minorHAnsi"/>
          <w:color w:val="000000" w:themeColor="text1"/>
          <w:lang w:val="en-GB"/>
        </w:rPr>
      </w:pPr>
      <w:r w:rsidRPr="00AD57C5">
        <w:rPr>
          <w:rFonts w:cstheme="minorHAnsi"/>
          <w:color w:val="000000" w:themeColor="text1"/>
          <w:lang w:val="en-GB"/>
        </w:rPr>
        <w:t xml:space="preserve">Warde, A., Wright, D., &amp; Gayo-Cal, M. (2007). Understanding cultural omnivorousness: Or, the myth of the cultural omnivore. </w:t>
      </w:r>
      <w:r w:rsidRPr="00AD57C5">
        <w:rPr>
          <w:rFonts w:cstheme="minorHAnsi"/>
          <w:i/>
          <w:color w:val="000000" w:themeColor="text1"/>
          <w:lang w:val="en-GB"/>
        </w:rPr>
        <w:t>Cultural Sociology</w:t>
      </w:r>
      <w:r w:rsidRPr="00AD57C5">
        <w:rPr>
          <w:rFonts w:cstheme="minorHAnsi"/>
          <w:color w:val="000000" w:themeColor="text1"/>
          <w:lang w:val="en-GB"/>
        </w:rPr>
        <w:t xml:space="preserve">, 1(2), 143-164. </w:t>
      </w:r>
    </w:p>
    <w:p w14:paraId="3200F634" w14:textId="77777777" w:rsidR="007D3A56" w:rsidRPr="00AD57C5" w:rsidRDefault="007D3A56" w:rsidP="00AD57C5">
      <w:pPr>
        <w:spacing w:before="60" w:after="60" w:line="276" w:lineRule="auto"/>
        <w:ind w:firstLine="426"/>
        <w:jc w:val="both"/>
        <w:rPr>
          <w:rFonts w:cstheme="minorHAnsi"/>
          <w:color w:val="000000" w:themeColor="text1"/>
          <w:lang w:val="en-GB"/>
        </w:rPr>
      </w:pPr>
      <w:r w:rsidRPr="00AD57C5">
        <w:rPr>
          <w:rFonts w:cstheme="minorHAnsi"/>
          <w:color w:val="000000" w:themeColor="text1"/>
          <w:lang w:val="en-GB"/>
        </w:rPr>
        <w:t xml:space="preserve">Wills, W., Backett-Milburn, K., Roberts, M., &amp; Lawton, J. (2011). The framing of social class distinctions through family food and eating practices. </w:t>
      </w:r>
      <w:r w:rsidRPr="00AD57C5">
        <w:rPr>
          <w:rFonts w:cstheme="minorHAnsi"/>
          <w:i/>
          <w:color w:val="000000" w:themeColor="text1"/>
          <w:lang w:val="en-GB"/>
        </w:rPr>
        <w:t>The Sociological Review</w:t>
      </w:r>
      <w:r w:rsidRPr="00AD57C5">
        <w:rPr>
          <w:rFonts w:cstheme="minorHAnsi"/>
          <w:color w:val="000000" w:themeColor="text1"/>
          <w:lang w:val="en-GB"/>
        </w:rPr>
        <w:t>, 59(4), 725-40.</w:t>
      </w:r>
    </w:p>
    <w:p w14:paraId="79527201" w14:textId="2412A037" w:rsidR="00956DCD" w:rsidRPr="007C2AF0" w:rsidRDefault="007D3A56" w:rsidP="007C2AF0">
      <w:pPr>
        <w:spacing w:before="60" w:after="60" w:line="276" w:lineRule="auto"/>
        <w:ind w:firstLine="426"/>
        <w:jc w:val="both"/>
        <w:rPr>
          <w:rFonts w:cstheme="minorHAnsi"/>
          <w:color w:val="000000" w:themeColor="text1"/>
          <w:lang w:val="en-GB"/>
        </w:rPr>
      </w:pPr>
      <w:r w:rsidRPr="00AD57C5">
        <w:rPr>
          <w:rFonts w:cstheme="minorHAnsi"/>
          <w:color w:val="000000" w:themeColor="text1"/>
          <w:shd w:val="clear" w:color="auto" w:fill="FFFFFF"/>
          <w:lang w:val="en-GB"/>
        </w:rPr>
        <w:t>Zukin, S. (2008). Consuming authenticity: From outposts of difference to means of exclusion. </w:t>
      </w:r>
      <w:r w:rsidRPr="00AD57C5">
        <w:rPr>
          <w:rFonts w:cstheme="minorHAnsi"/>
          <w:i/>
          <w:iCs/>
          <w:color w:val="000000" w:themeColor="text1"/>
          <w:shd w:val="clear" w:color="auto" w:fill="FFFFFF"/>
          <w:lang w:val="en-GB"/>
        </w:rPr>
        <w:t>Cultural studies</w:t>
      </w:r>
      <w:r w:rsidRPr="00AD57C5">
        <w:rPr>
          <w:rFonts w:cstheme="minorHAnsi"/>
          <w:color w:val="000000" w:themeColor="text1"/>
          <w:shd w:val="clear" w:color="auto" w:fill="FFFFFF"/>
          <w:lang w:val="en-GB"/>
        </w:rPr>
        <w:t>, </w:t>
      </w:r>
      <w:r w:rsidRPr="00AD57C5">
        <w:rPr>
          <w:rFonts w:cstheme="minorHAnsi"/>
          <w:i/>
          <w:iCs/>
          <w:color w:val="000000" w:themeColor="text1"/>
          <w:shd w:val="clear" w:color="auto" w:fill="FFFFFF"/>
          <w:lang w:val="en-GB"/>
        </w:rPr>
        <w:t>22</w:t>
      </w:r>
      <w:r w:rsidRPr="00AD57C5">
        <w:rPr>
          <w:rFonts w:cstheme="minorHAnsi"/>
          <w:color w:val="000000" w:themeColor="text1"/>
          <w:shd w:val="clear" w:color="auto" w:fill="FFFFFF"/>
          <w:lang w:val="en-GB"/>
        </w:rPr>
        <w:t>(5), 724-748.</w:t>
      </w:r>
    </w:p>
    <w:sectPr w:rsidR="00956DCD" w:rsidRPr="007C2AF0" w:rsidSect="00A82D5C">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6CB57" w16cid:durableId="1F1D672E"/>
  <w16cid:commentId w16cid:paraId="268939CB" w16cid:durableId="1F1D672F"/>
  <w16cid:commentId w16cid:paraId="0DD4F15A" w16cid:durableId="1F1D6730"/>
  <w16cid:commentId w16cid:paraId="7F0CCA53" w16cid:durableId="1F1D675F"/>
  <w16cid:commentId w16cid:paraId="57F4AC43" w16cid:durableId="1F1D6731"/>
  <w16cid:commentId w16cid:paraId="23F786DB" w16cid:durableId="1F1D6732"/>
  <w16cid:commentId w16cid:paraId="7AD4E44A" w16cid:durableId="1F1D694A"/>
  <w16cid:commentId w16cid:paraId="3FD3054A" w16cid:durableId="1F1D6979"/>
  <w16cid:commentId w16cid:paraId="44D6BDBF" w16cid:durableId="1F1D6B05"/>
  <w16cid:commentId w16cid:paraId="31EDF0DE" w16cid:durableId="1F1D69E1"/>
  <w16cid:commentId w16cid:paraId="34131EBA" w16cid:durableId="1F1D6B50"/>
  <w16cid:commentId w16cid:paraId="143D4697" w16cid:durableId="1F1D6A5D"/>
  <w16cid:commentId w16cid:paraId="5687DEFD" w16cid:durableId="1F1D6733"/>
  <w16cid:commentId w16cid:paraId="4AD096C6" w16cid:durableId="1F1D6B8F"/>
  <w16cid:commentId w16cid:paraId="638AEBAF" w16cid:durableId="1F1D6734"/>
  <w16cid:commentId w16cid:paraId="4BD25567" w16cid:durableId="1F1D6DA9"/>
  <w16cid:commentId w16cid:paraId="4E8AF2D7" w16cid:durableId="1F1D6735"/>
  <w16cid:commentId w16cid:paraId="6781581A" w16cid:durableId="1F1D6736"/>
  <w16cid:commentId w16cid:paraId="6120C076" w16cid:durableId="1F1D6E4B"/>
  <w16cid:commentId w16cid:paraId="6E395AF9" w16cid:durableId="1F1D6737"/>
  <w16cid:commentId w16cid:paraId="66FFBA48" w16cid:durableId="1F1D6738"/>
  <w16cid:commentId w16cid:paraId="614C77AA" w16cid:durableId="1F1D6739"/>
  <w16cid:commentId w16cid:paraId="782AF57A" w16cid:durableId="1F1D6ED9"/>
  <w16cid:commentId w16cid:paraId="6BA9B410" w16cid:durableId="1F1D673A"/>
  <w16cid:commentId w16cid:paraId="20C800ED" w16cid:durableId="1F1D673B"/>
  <w16cid:commentId w16cid:paraId="2B80ACAC" w16cid:durableId="1F1D673C"/>
  <w16cid:commentId w16cid:paraId="6F376E5D" w16cid:durableId="1F1D673D"/>
  <w16cid:commentId w16cid:paraId="1DA1028B" w16cid:durableId="1F1D673E"/>
  <w16cid:commentId w16cid:paraId="6BD6BE91" w16cid:durableId="1F1D673F"/>
  <w16cid:commentId w16cid:paraId="5F9E2BA8" w16cid:durableId="1F1D7021"/>
  <w16cid:commentId w16cid:paraId="032CCB3B" w16cid:durableId="1F1D6740"/>
  <w16cid:commentId w16cid:paraId="735384E8" w16cid:durableId="1F1D6741"/>
  <w16cid:commentId w16cid:paraId="72E5F0D0" w16cid:durableId="1F1D6742"/>
  <w16cid:commentId w16cid:paraId="1EEB714F" w16cid:durableId="1F1D6743"/>
  <w16cid:commentId w16cid:paraId="13DE9970" w16cid:durableId="1F1D6744"/>
  <w16cid:commentId w16cid:paraId="01156DC1" w16cid:durableId="1F1D6745"/>
  <w16cid:commentId w16cid:paraId="24AD31C5" w16cid:durableId="1F1D6746"/>
  <w16cid:commentId w16cid:paraId="73205FE3" w16cid:durableId="1F1D67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26A14" w14:textId="77777777" w:rsidR="00056807" w:rsidRDefault="00056807" w:rsidP="00341364">
      <w:pPr>
        <w:spacing w:after="0" w:line="240" w:lineRule="auto"/>
      </w:pPr>
      <w:r>
        <w:separator/>
      </w:r>
    </w:p>
  </w:endnote>
  <w:endnote w:type="continuationSeparator" w:id="0">
    <w:p w14:paraId="37F96E39" w14:textId="77777777" w:rsidR="00056807" w:rsidRDefault="00056807" w:rsidP="00341364">
      <w:pPr>
        <w:spacing w:after="0" w:line="240" w:lineRule="auto"/>
      </w:pPr>
      <w:r>
        <w:continuationSeparator/>
      </w:r>
    </w:p>
  </w:endnote>
  <w:endnote w:type="continuationNotice" w:id="1">
    <w:p w14:paraId="464E86C0" w14:textId="77777777" w:rsidR="00056807" w:rsidRDefault="000568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789702"/>
      <w:docPartObj>
        <w:docPartGallery w:val="Page Numbers (Bottom of Page)"/>
        <w:docPartUnique/>
      </w:docPartObj>
    </w:sdtPr>
    <w:sdtEndPr/>
    <w:sdtContent>
      <w:p w14:paraId="69ED456D" w14:textId="63C3B8F5" w:rsidR="00853BE0" w:rsidRDefault="00853BE0">
        <w:pPr>
          <w:pStyle w:val="Pidipagina"/>
          <w:jc w:val="center"/>
        </w:pPr>
        <w:r>
          <w:fldChar w:fldCharType="begin"/>
        </w:r>
        <w:r>
          <w:instrText>PAGE   \* MERGEFORMAT</w:instrText>
        </w:r>
        <w:r>
          <w:fldChar w:fldCharType="separate"/>
        </w:r>
        <w:r w:rsidR="00212D63">
          <w:rPr>
            <w:noProof/>
          </w:rPr>
          <w:t>16</w:t>
        </w:r>
        <w:r>
          <w:fldChar w:fldCharType="end"/>
        </w:r>
      </w:p>
    </w:sdtContent>
  </w:sdt>
  <w:p w14:paraId="66CC6C02" w14:textId="77777777" w:rsidR="00853BE0" w:rsidRDefault="00853B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3407F" w14:textId="77777777" w:rsidR="00056807" w:rsidRDefault="00056807" w:rsidP="00341364">
      <w:pPr>
        <w:spacing w:after="0" w:line="240" w:lineRule="auto"/>
      </w:pPr>
      <w:r>
        <w:separator/>
      </w:r>
    </w:p>
  </w:footnote>
  <w:footnote w:type="continuationSeparator" w:id="0">
    <w:p w14:paraId="2451C0D7" w14:textId="77777777" w:rsidR="00056807" w:rsidRDefault="00056807" w:rsidP="00341364">
      <w:pPr>
        <w:spacing w:after="0" w:line="240" w:lineRule="auto"/>
      </w:pPr>
      <w:r>
        <w:continuationSeparator/>
      </w:r>
    </w:p>
  </w:footnote>
  <w:footnote w:type="continuationNotice" w:id="1">
    <w:p w14:paraId="44F87CC8" w14:textId="77777777" w:rsidR="00056807" w:rsidRDefault="000568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7400"/>
    <w:multiLevelType w:val="hybridMultilevel"/>
    <w:tmpl w:val="0A4C7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795CA5"/>
    <w:multiLevelType w:val="hybridMultilevel"/>
    <w:tmpl w:val="BEDCB6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2E6421"/>
    <w:multiLevelType w:val="hybridMultilevel"/>
    <w:tmpl w:val="728AA616"/>
    <w:lvl w:ilvl="0" w:tplc="05947B66">
      <w:start w:val="1"/>
      <w:numFmt w:val="decimal"/>
      <w:lvlText w:val="%1."/>
      <w:lvlJc w:val="left"/>
      <w:pPr>
        <w:ind w:left="644" w:hanging="360"/>
      </w:pPr>
      <w:rPr>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53DA0BAC"/>
    <w:multiLevelType w:val="hybridMultilevel"/>
    <w:tmpl w:val="C2E8CCC8"/>
    <w:lvl w:ilvl="0" w:tplc="B91284D8">
      <w:start w:val="1"/>
      <w:numFmt w:val="lowerRoman"/>
      <w:lvlText w:val="%1)"/>
      <w:lvlJc w:val="left"/>
      <w:pPr>
        <w:ind w:left="1571" w:hanging="72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 w15:restartNumberingAfterBreak="0">
    <w:nsid w:val="5BDD036C"/>
    <w:multiLevelType w:val="hybridMultilevel"/>
    <w:tmpl w:val="DAFEC25C"/>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5" w15:restartNumberingAfterBreak="0">
    <w:nsid w:val="5D7406F4"/>
    <w:multiLevelType w:val="hybridMultilevel"/>
    <w:tmpl w:val="35ECE7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10F45C4"/>
    <w:multiLevelType w:val="hybridMultilevel"/>
    <w:tmpl w:val="3560EC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7C0F79"/>
    <w:multiLevelType w:val="hybridMultilevel"/>
    <w:tmpl w:val="3D9AB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D35D6F"/>
    <w:multiLevelType w:val="hybridMultilevel"/>
    <w:tmpl w:val="3560EC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DA7B9A"/>
    <w:multiLevelType w:val="hybridMultilevel"/>
    <w:tmpl w:val="61F0BD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F04259"/>
    <w:multiLevelType w:val="hybridMultilevel"/>
    <w:tmpl w:val="8BD4C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6803DE"/>
    <w:multiLevelType w:val="hybridMultilevel"/>
    <w:tmpl w:val="02920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8"/>
  </w:num>
  <w:num w:numId="6">
    <w:abstractNumId w:val="3"/>
  </w:num>
  <w:num w:numId="7">
    <w:abstractNumId w:val="9"/>
  </w:num>
  <w:num w:numId="8">
    <w:abstractNumId w:val="10"/>
  </w:num>
  <w:num w:numId="9">
    <w:abstractNumId w:val="6"/>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09"/>
    <w:rsid w:val="000063ED"/>
    <w:rsid w:val="00014DC8"/>
    <w:rsid w:val="00020C23"/>
    <w:rsid w:val="000238AD"/>
    <w:rsid w:val="000348FC"/>
    <w:rsid w:val="000538D3"/>
    <w:rsid w:val="000540F5"/>
    <w:rsid w:val="00056807"/>
    <w:rsid w:val="00057A9A"/>
    <w:rsid w:val="00067FF8"/>
    <w:rsid w:val="00076FEC"/>
    <w:rsid w:val="000836CD"/>
    <w:rsid w:val="000857F7"/>
    <w:rsid w:val="000905BE"/>
    <w:rsid w:val="000A5F13"/>
    <w:rsid w:val="000A7929"/>
    <w:rsid w:val="000B0F26"/>
    <w:rsid w:val="000D15FB"/>
    <w:rsid w:val="000D5869"/>
    <w:rsid w:val="000E012C"/>
    <w:rsid w:val="000F5BBD"/>
    <w:rsid w:val="000F6E52"/>
    <w:rsid w:val="0012173C"/>
    <w:rsid w:val="001279BA"/>
    <w:rsid w:val="00146DB9"/>
    <w:rsid w:val="00153831"/>
    <w:rsid w:val="00163950"/>
    <w:rsid w:val="00166236"/>
    <w:rsid w:val="00181DEC"/>
    <w:rsid w:val="0018302B"/>
    <w:rsid w:val="00187C1F"/>
    <w:rsid w:val="001916BA"/>
    <w:rsid w:val="00192B63"/>
    <w:rsid w:val="001A0458"/>
    <w:rsid w:val="001A1581"/>
    <w:rsid w:val="001A54E3"/>
    <w:rsid w:val="001B3C28"/>
    <w:rsid w:val="001B427D"/>
    <w:rsid w:val="001C7CD8"/>
    <w:rsid w:val="001E0024"/>
    <w:rsid w:val="001F5CA0"/>
    <w:rsid w:val="002057DB"/>
    <w:rsid w:val="0020650C"/>
    <w:rsid w:val="00212D63"/>
    <w:rsid w:val="002148DC"/>
    <w:rsid w:val="00220A8C"/>
    <w:rsid w:val="00243285"/>
    <w:rsid w:val="0026569F"/>
    <w:rsid w:val="002702BC"/>
    <w:rsid w:val="00274672"/>
    <w:rsid w:val="00276071"/>
    <w:rsid w:val="002B2F72"/>
    <w:rsid w:val="002B368C"/>
    <w:rsid w:val="002B3974"/>
    <w:rsid w:val="002C7CCA"/>
    <w:rsid w:val="002D3206"/>
    <w:rsid w:val="002E5ADE"/>
    <w:rsid w:val="002F021C"/>
    <w:rsid w:val="002F1888"/>
    <w:rsid w:val="002F2348"/>
    <w:rsid w:val="002F4B15"/>
    <w:rsid w:val="00303628"/>
    <w:rsid w:val="003160BE"/>
    <w:rsid w:val="003230D6"/>
    <w:rsid w:val="00341364"/>
    <w:rsid w:val="00342296"/>
    <w:rsid w:val="003433A9"/>
    <w:rsid w:val="00352A3D"/>
    <w:rsid w:val="00353969"/>
    <w:rsid w:val="00367DAB"/>
    <w:rsid w:val="00375434"/>
    <w:rsid w:val="00376BB0"/>
    <w:rsid w:val="00380DAD"/>
    <w:rsid w:val="00382C64"/>
    <w:rsid w:val="003A15E7"/>
    <w:rsid w:val="003A3116"/>
    <w:rsid w:val="003A3E0E"/>
    <w:rsid w:val="003B461D"/>
    <w:rsid w:val="003B6BA3"/>
    <w:rsid w:val="003D03BD"/>
    <w:rsid w:val="003D29C8"/>
    <w:rsid w:val="003F456B"/>
    <w:rsid w:val="003F6247"/>
    <w:rsid w:val="00401D24"/>
    <w:rsid w:val="0041139C"/>
    <w:rsid w:val="0042085F"/>
    <w:rsid w:val="00422F70"/>
    <w:rsid w:val="00431E88"/>
    <w:rsid w:val="004348CA"/>
    <w:rsid w:val="00440567"/>
    <w:rsid w:val="00450A07"/>
    <w:rsid w:val="00452506"/>
    <w:rsid w:val="00462EC5"/>
    <w:rsid w:val="0046756E"/>
    <w:rsid w:val="004677B6"/>
    <w:rsid w:val="00481F36"/>
    <w:rsid w:val="00482C00"/>
    <w:rsid w:val="00483DFA"/>
    <w:rsid w:val="00485935"/>
    <w:rsid w:val="00486EDC"/>
    <w:rsid w:val="00487E9A"/>
    <w:rsid w:val="004903B4"/>
    <w:rsid w:val="00492EE5"/>
    <w:rsid w:val="00494F24"/>
    <w:rsid w:val="0049616D"/>
    <w:rsid w:val="00496C0C"/>
    <w:rsid w:val="004A50F8"/>
    <w:rsid w:val="004C112B"/>
    <w:rsid w:val="004D6C97"/>
    <w:rsid w:val="004E3002"/>
    <w:rsid w:val="004F507C"/>
    <w:rsid w:val="004F5774"/>
    <w:rsid w:val="004F72E5"/>
    <w:rsid w:val="00503F0D"/>
    <w:rsid w:val="0052092F"/>
    <w:rsid w:val="0052181A"/>
    <w:rsid w:val="005221EF"/>
    <w:rsid w:val="005245DB"/>
    <w:rsid w:val="00526809"/>
    <w:rsid w:val="00533C14"/>
    <w:rsid w:val="005430CD"/>
    <w:rsid w:val="005953B8"/>
    <w:rsid w:val="005A19C8"/>
    <w:rsid w:val="005A5A07"/>
    <w:rsid w:val="005A5E0B"/>
    <w:rsid w:val="005D6D1B"/>
    <w:rsid w:val="005E3B1F"/>
    <w:rsid w:val="005E73CC"/>
    <w:rsid w:val="005F038A"/>
    <w:rsid w:val="005F4595"/>
    <w:rsid w:val="006013B3"/>
    <w:rsid w:val="00601C4A"/>
    <w:rsid w:val="006126AC"/>
    <w:rsid w:val="0062465F"/>
    <w:rsid w:val="00632EAE"/>
    <w:rsid w:val="0063598B"/>
    <w:rsid w:val="006462B8"/>
    <w:rsid w:val="00650E5E"/>
    <w:rsid w:val="00651D57"/>
    <w:rsid w:val="00651F95"/>
    <w:rsid w:val="00657CC5"/>
    <w:rsid w:val="006635D9"/>
    <w:rsid w:val="00672B53"/>
    <w:rsid w:val="00674AE7"/>
    <w:rsid w:val="0067695E"/>
    <w:rsid w:val="00695121"/>
    <w:rsid w:val="0069738E"/>
    <w:rsid w:val="006C009E"/>
    <w:rsid w:val="006C17DF"/>
    <w:rsid w:val="006D779D"/>
    <w:rsid w:val="00704279"/>
    <w:rsid w:val="00714A7A"/>
    <w:rsid w:val="00717142"/>
    <w:rsid w:val="00721510"/>
    <w:rsid w:val="00722078"/>
    <w:rsid w:val="00723C99"/>
    <w:rsid w:val="00725C8A"/>
    <w:rsid w:val="00745153"/>
    <w:rsid w:val="00745667"/>
    <w:rsid w:val="00777A97"/>
    <w:rsid w:val="0078259A"/>
    <w:rsid w:val="007825FA"/>
    <w:rsid w:val="0078789C"/>
    <w:rsid w:val="00790080"/>
    <w:rsid w:val="00795D96"/>
    <w:rsid w:val="007A0546"/>
    <w:rsid w:val="007A6BC7"/>
    <w:rsid w:val="007C0B59"/>
    <w:rsid w:val="007C2AF0"/>
    <w:rsid w:val="007C4FE8"/>
    <w:rsid w:val="007C6203"/>
    <w:rsid w:val="007D0B1B"/>
    <w:rsid w:val="007D3A56"/>
    <w:rsid w:val="007F305C"/>
    <w:rsid w:val="00800BB7"/>
    <w:rsid w:val="00805FF2"/>
    <w:rsid w:val="00814D6D"/>
    <w:rsid w:val="00827F16"/>
    <w:rsid w:val="008317F8"/>
    <w:rsid w:val="008328E1"/>
    <w:rsid w:val="00836E83"/>
    <w:rsid w:val="00845A8B"/>
    <w:rsid w:val="008474FD"/>
    <w:rsid w:val="008479BF"/>
    <w:rsid w:val="008519BE"/>
    <w:rsid w:val="008531D6"/>
    <w:rsid w:val="00853BE0"/>
    <w:rsid w:val="008626F3"/>
    <w:rsid w:val="008642A2"/>
    <w:rsid w:val="00864CFE"/>
    <w:rsid w:val="008677DF"/>
    <w:rsid w:val="008770F0"/>
    <w:rsid w:val="008817BE"/>
    <w:rsid w:val="00882C5D"/>
    <w:rsid w:val="008A5132"/>
    <w:rsid w:val="008D3EF2"/>
    <w:rsid w:val="008D4B0D"/>
    <w:rsid w:val="008E1944"/>
    <w:rsid w:val="008E2A80"/>
    <w:rsid w:val="00904F0A"/>
    <w:rsid w:val="00906890"/>
    <w:rsid w:val="009205FA"/>
    <w:rsid w:val="009247AF"/>
    <w:rsid w:val="00925869"/>
    <w:rsid w:val="00935877"/>
    <w:rsid w:val="00943648"/>
    <w:rsid w:val="00956DCD"/>
    <w:rsid w:val="00962357"/>
    <w:rsid w:val="00987630"/>
    <w:rsid w:val="009A64D7"/>
    <w:rsid w:val="009C084A"/>
    <w:rsid w:val="009D2EE4"/>
    <w:rsid w:val="009D4655"/>
    <w:rsid w:val="009D7F54"/>
    <w:rsid w:val="009E0C73"/>
    <w:rsid w:val="009F15BE"/>
    <w:rsid w:val="009F5873"/>
    <w:rsid w:val="00A144B1"/>
    <w:rsid w:val="00A14E93"/>
    <w:rsid w:val="00A2310E"/>
    <w:rsid w:val="00A23F71"/>
    <w:rsid w:val="00A256DA"/>
    <w:rsid w:val="00A26563"/>
    <w:rsid w:val="00A313F1"/>
    <w:rsid w:val="00A52DE7"/>
    <w:rsid w:val="00A54E5E"/>
    <w:rsid w:val="00A5575D"/>
    <w:rsid w:val="00A73B07"/>
    <w:rsid w:val="00A74B40"/>
    <w:rsid w:val="00A82D5C"/>
    <w:rsid w:val="00A86A3A"/>
    <w:rsid w:val="00A928A1"/>
    <w:rsid w:val="00AA5CFE"/>
    <w:rsid w:val="00AB1C5F"/>
    <w:rsid w:val="00AB327D"/>
    <w:rsid w:val="00AB64DD"/>
    <w:rsid w:val="00AB6C7F"/>
    <w:rsid w:val="00AC1D3C"/>
    <w:rsid w:val="00AD4F9F"/>
    <w:rsid w:val="00AD57C5"/>
    <w:rsid w:val="00B13DAE"/>
    <w:rsid w:val="00B13E01"/>
    <w:rsid w:val="00B1774E"/>
    <w:rsid w:val="00B20872"/>
    <w:rsid w:val="00B21CD4"/>
    <w:rsid w:val="00B30BD4"/>
    <w:rsid w:val="00B314DA"/>
    <w:rsid w:val="00B43365"/>
    <w:rsid w:val="00B511D7"/>
    <w:rsid w:val="00B560A1"/>
    <w:rsid w:val="00B629B0"/>
    <w:rsid w:val="00B67675"/>
    <w:rsid w:val="00B735B5"/>
    <w:rsid w:val="00B92265"/>
    <w:rsid w:val="00B938D6"/>
    <w:rsid w:val="00B955E5"/>
    <w:rsid w:val="00BB4121"/>
    <w:rsid w:val="00BB7C45"/>
    <w:rsid w:val="00BD4796"/>
    <w:rsid w:val="00BD7913"/>
    <w:rsid w:val="00BD7B30"/>
    <w:rsid w:val="00BE5D43"/>
    <w:rsid w:val="00BF2B33"/>
    <w:rsid w:val="00C05205"/>
    <w:rsid w:val="00C13B49"/>
    <w:rsid w:val="00C15910"/>
    <w:rsid w:val="00C30AD5"/>
    <w:rsid w:val="00C32695"/>
    <w:rsid w:val="00C3376D"/>
    <w:rsid w:val="00C42E3E"/>
    <w:rsid w:val="00C438D8"/>
    <w:rsid w:val="00C46025"/>
    <w:rsid w:val="00C4666E"/>
    <w:rsid w:val="00C614BA"/>
    <w:rsid w:val="00C620C3"/>
    <w:rsid w:val="00C815A4"/>
    <w:rsid w:val="00C947CC"/>
    <w:rsid w:val="00C96891"/>
    <w:rsid w:val="00CC1798"/>
    <w:rsid w:val="00CD3489"/>
    <w:rsid w:val="00CE55AA"/>
    <w:rsid w:val="00D00233"/>
    <w:rsid w:val="00D05120"/>
    <w:rsid w:val="00D07D18"/>
    <w:rsid w:val="00D11C22"/>
    <w:rsid w:val="00D54620"/>
    <w:rsid w:val="00D5748F"/>
    <w:rsid w:val="00D6476A"/>
    <w:rsid w:val="00D66A1E"/>
    <w:rsid w:val="00D74A50"/>
    <w:rsid w:val="00D82BE5"/>
    <w:rsid w:val="00D83D74"/>
    <w:rsid w:val="00D848C1"/>
    <w:rsid w:val="00DB0145"/>
    <w:rsid w:val="00DB4B95"/>
    <w:rsid w:val="00DC35E0"/>
    <w:rsid w:val="00DD25E1"/>
    <w:rsid w:val="00DD5FF8"/>
    <w:rsid w:val="00DD7672"/>
    <w:rsid w:val="00DE07A7"/>
    <w:rsid w:val="00DF6DA9"/>
    <w:rsid w:val="00E12767"/>
    <w:rsid w:val="00E127EA"/>
    <w:rsid w:val="00E1615A"/>
    <w:rsid w:val="00E1659A"/>
    <w:rsid w:val="00E26596"/>
    <w:rsid w:val="00E34E80"/>
    <w:rsid w:val="00E45B44"/>
    <w:rsid w:val="00E46D33"/>
    <w:rsid w:val="00E51433"/>
    <w:rsid w:val="00E61934"/>
    <w:rsid w:val="00E76044"/>
    <w:rsid w:val="00E771E2"/>
    <w:rsid w:val="00E8655D"/>
    <w:rsid w:val="00E958C2"/>
    <w:rsid w:val="00E96396"/>
    <w:rsid w:val="00E96A9D"/>
    <w:rsid w:val="00EA469C"/>
    <w:rsid w:val="00EB0374"/>
    <w:rsid w:val="00EB784D"/>
    <w:rsid w:val="00EB7D9B"/>
    <w:rsid w:val="00EC1DA4"/>
    <w:rsid w:val="00ED2F99"/>
    <w:rsid w:val="00EE2B02"/>
    <w:rsid w:val="00EE61A2"/>
    <w:rsid w:val="00EF0E74"/>
    <w:rsid w:val="00F0062A"/>
    <w:rsid w:val="00F02061"/>
    <w:rsid w:val="00F06A15"/>
    <w:rsid w:val="00F14651"/>
    <w:rsid w:val="00F174B6"/>
    <w:rsid w:val="00F200FD"/>
    <w:rsid w:val="00F2337D"/>
    <w:rsid w:val="00F23CEF"/>
    <w:rsid w:val="00F430DD"/>
    <w:rsid w:val="00F56B04"/>
    <w:rsid w:val="00F60731"/>
    <w:rsid w:val="00F756D4"/>
    <w:rsid w:val="00F91F0D"/>
    <w:rsid w:val="00FA51BC"/>
    <w:rsid w:val="00FB27AB"/>
    <w:rsid w:val="00FB6489"/>
    <w:rsid w:val="00FC34E5"/>
    <w:rsid w:val="00FD1374"/>
    <w:rsid w:val="00FD662D"/>
    <w:rsid w:val="00FE6054"/>
    <w:rsid w:val="00FE6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5A4F"/>
  <w15:docId w15:val="{8C32DF7E-53B5-4439-9342-EB3AD64F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526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526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845A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5E3B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26809"/>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unhideWhenUsed/>
    <w:rsid w:val="0052680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52680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845A8B"/>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845A8B"/>
    <w:pPr>
      <w:ind w:left="720"/>
      <w:contextualSpacing/>
    </w:pPr>
  </w:style>
  <w:style w:type="paragraph" w:styleId="Testonotaapidipagina">
    <w:name w:val="footnote text"/>
    <w:basedOn w:val="Normale"/>
    <w:link w:val="TestonotaapidipaginaCarattere"/>
    <w:uiPriority w:val="99"/>
    <w:semiHidden/>
    <w:unhideWhenUsed/>
    <w:rsid w:val="0034136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41364"/>
    <w:rPr>
      <w:sz w:val="20"/>
      <w:szCs w:val="20"/>
    </w:rPr>
  </w:style>
  <w:style w:type="character" w:styleId="Rimandonotaapidipagina">
    <w:name w:val="footnote reference"/>
    <w:basedOn w:val="Carpredefinitoparagrafo"/>
    <w:uiPriority w:val="99"/>
    <w:semiHidden/>
    <w:unhideWhenUsed/>
    <w:rsid w:val="00341364"/>
    <w:rPr>
      <w:vertAlign w:val="superscript"/>
    </w:rPr>
  </w:style>
  <w:style w:type="character" w:styleId="Collegamentoipertestuale">
    <w:name w:val="Hyperlink"/>
    <w:basedOn w:val="Carpredefinitoparagrafo"/>
    <w:uiPriority w:val="99"/>
    <w:unhideWhenUsed/>
    <w:rsid w:val="00D6476A"/>
    <w:rPr>
      <w:color w:val="0000FF"/>
      <w:u w:val="single"/>
    </w:rPr>
  </w:style>
  <w:style w:type="paragraph" w:styleId="Intestazione">
    <w:name w:val="header"/>
    <w:basedOn w:val="Normale"/>
    <w:link w:val="IntestazioneCarattere"/>
    <w:uiPriority w:val="99"/>
    <w:unhideWhenUsed/>
    <w:rsid w:val="006013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13B3"/>
  </w:style>
  <w:style w:type="paragraph" w:styleId="Pidipagina">
    <w:name w:val="footer"/>
    <w:basedOn w:val="Normale"/>
    <w:link w:val="PidipaginaCarattere"/>
    <w:uiPriority w:val="99"/>
    <w:unhideWhenUsed/>
    <w:rsid w:val="006013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13B3"/>
  </w:style>
  <w:style w:type="table" w:styleId="Grigliatabella">
    <w:name w:val="Table Grid"/>
    <w:basedOn w:val="Tabellanormale"/>
    <w:uiPriority w:val="39"/>
    <w:rsid w:val="00D8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zioneHTML">
    <w:name w:val="HTML Cite"/>
    <w:basedOn w:val="Carpredefinitoparagrafo"/>
    <w:uiPriority w:val="99"/>
    <w:semiHidden/>
    <w:unhideWhenUsed/>
    <w:rsid w:val="00956DCD"/>
    <w:rPr>
      <w:i/>
      <w:iCs/>
    </w:rPr>
  </w:style>
  <w:style w:type="character" w:customStyle="1" w:styleId="occurrence">
    <w:name w:val="occurrence"/>
    <w:basedOn w:val="Carpredefinitoparagrafo"/>
    <w:rsid w:val="00956DCD"/>
  </w:style>
  <w:style w:type="paragraph" w:styleId="Didascalia">
    <w:name w:val="caption"/>
    <w:basedOn w:val="Normale"/>
    <w:next w:val="Normale"/>
    <w:uiPriority w:val="35"/>
    <w:unhideWhenUsed/>
    <w:qFormat/>
    <w:rsid w:val="00956DCD"/>
    <w:pPr>
      <w:spacing w:after="200" w:line="240" w:lineRule="auto"/>
    </w:pPr>
    <w:rPr>
      <w:i/>
      <w:iCs/>
      <w:color w:val="44546A" w:themeColor="text2"/>
      <w:sz w:val="18"/>
      <w:szCs w:val="18"/>
    </w:rPr>
  </w:style>
  <w:style w:type="character" w:styleId="Rimandocommento">
    <w:name w:val="annotation reference"/>
    <w:basedOn w:val="Carpredefinitoparagrafo"/>
    <w:uiPriority w:val="99"/>
    <w:semiHidden/>
    <w:unhideWhenUsed/>
    <w:rsid w:val="00496C0C"/>
    <w:rPr>
      <w:sz w:val="16"/>
      <w:szCs w:val="16"/>
    </w:rPr>
  </w:style>
  <w:style w:type="paragraph" w:styleId="Testocommento">
    <w:name w:val="annotation text"/>
    <w:basedOn w:val="Normale"/>
    <w:link w:val="TestocommentoCarattere"/>
    <w:uiPriority w:val="99"/>
    <w:semiHidden/>
    <w:unhideWhenUsed/>
    <w:rsid w:val="00496C0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96C0C"/>
    <w:rPr>
      <w:sz w:val="20"/>
      <w:szCs w:val="20"/>
    </w:rPr>
  </w:style>
  <w:style w:type="paragraph" w:styleId="Soggettocommento">
    <w:name w:val="annotation subject"/>
    <w:basedOn w:val="Testocommento"/>
    <w:next w:val="Testocommento"/>
    <w:link w:val="SoggettocommentoCarattere"/>
    <w:uiPriority w:val="99"/>
    <w:semiHidden/>
    <w:unhideWhenUsed/>
    <w:rsid w:val="00496C0C"/>
    <w:rPr>
      <w:b/>
      <w:bCs/>
    </w:rPr>
  </w:style>
  <w:style w:type="character" w:customStyle="1" w:styleId="SoggettocommentoCarattere">
    <w:name w:val="Soggetto commento Carattere"/>
    <w:basedOn w:val="TestocommentoCarattere"/>
    <w:link w:val="Soggettocommento"/>
    <w:uiPriority w:val="99"/>
    <w:semiHidden/>
    <w:rsid w:val="00496C0C"/>
    <w:rPr>
      <w:b/>
      <w:bCs/>
      <w:sz w:val="20"/>
      <w:szCs w:val="20"/>
    </w:rPr>
  </w:style>
  <w:style w:type="paragraph" w:styleId="Testofumetto">
    <w:name w:val="Balloon Text"/>
    <w:basedOn w:val="Normale"/>
    <w:link w:val="TestofumettoCarattere"/>
    <w:uiPriority w:val="99"/>
    <w:semiHidden/>
    <w:unhideWhenUsed/>
    <w:rsid w:val="00496C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6C0C"/>
    <w:rPr>
      <w:rFonts w:ascii="Segoe UI" w:hAnsi="Segoe UI" w:cs="Segoe UI"/>
      <w:sz w:val="18"/>
      <w:szCs w:val="18"/>
    </w:rPr>
  </w:style>
  <w:style w:type="character" w:styleId="Collegamentovisitato">
    <w:name w:val="FollowedHyperlink"/>
    <w:basedOn w:val="Carpredefinitoparagrafo"/>
    <w:uiPriority w:val="99"/>
    <w:semiHidden/>
    <w:unhideWhenUsed/>
    <w:rsid w:val="00853BE0"/>
    <w:rPr>
      <w:color w:val="954F72" w:themeColor="followedHyperlink"/>
      <w:u w:val="single"/>
    </w:rPr>
  </w:style>
  <w:style w:type="paragraph" w:styleId="Revisione">
    <w:name w:val="Revision"/>
    <w:hidden/>
    <w:uiPriority w:val="99"/>
    <w:semiHidden/>
    <w:rsid w:val="00F0062A"/>
    <w:pPr>
      <w:spacing w:after="0" w:line="240" w:lineRule="auto"/>
    </w:pPr>
  </w:style>
  <w:style w:type="character" w:customStyle="1" w:styleId="Titolo4Carattere">
    <w:name w:val="Titolo 4 Carattere"/>
    <w:basedOn w:val="Carpredefinitoparagrafo"/>
    <w:link w:val="Titolo4"/>
    <w:uiPriority w:val="9"/>
    <w:rsid w:val="005E3B1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2405">
      <w:bodyDiv w:val="1"/>
      <w:marLeft w:val="0"/>
      <w:marRight w:val="0"/>
      <w:marTop w:val="0"/>
      <w:marBottom w:val="0"/>
      <w:divBdr>
        <w:top w:val="none" w:sz="0" w:space="0" w:color="auto"/>
        <w:left w:val="none" w:sz="0" w:space="0" w:color="auto"/>
        <w:bottom w:val="none" w:sz="0" w:space="0" w:color="auto"/>
        <w:right w:val="none" w:sz="0" w:space="0" w:color="auto"/>
      </w:divBdr>
      <w:divsChild>
        <w:div w:id="856389707">
          <w:marLeft w:val="4950"/>
          <w:marRight w:val="4950"/>
          <w:marTop w:val="0"/>
          <w:marBottom w:val="0"/>
          <w:divBdr>
            <w:top w:val="none" w:sz="0" w:space="0" w:color="auto"/>
            <w:left w:val="none" w:sz="0" w:space="0" w:color="auto"/>
            <w:bottom w:val="none" w:sz="0" w:space="0" w:color="auto"/>
            <w:right w:val="none" w:sz="0" w:space="0" w:color="auto"/>
          </w:divBdr>
          <w:divsChild>
            <w:div w:id="1010257560">
              <w:marLeft w:val="3750"/>
              <w:marRight w:val="3750"/>
              <w:marTop w:val="0"/>
              <w:marBottom w:val="0"/>
              <w:divBdr>
                <w:top w:val="none" w:sz="0" w:space="0" w:color="auto"/>
                <w:left w:val="none" w:sz="0" w:space="0" w:color="auto"/>
                <w:bottom w:val="none" w:sz="0" w:space="0" w:color="auto"/>
                <w:right w:val="none" w:sz="0" w:space="0" w:color="auto"/>
              </w:divBdr>
            </w:div>
          </w:divsChild>
        </w:div>
      </w:divsChild>
    </w:div>
    <w:div w:id="107479533">
      <w:bodyDiv w:val="1"/>
      <w:marLeft w:val="0"/>
      <w:marRight w:val="0"/>
      <w:marTop w:val="0"/>
      <w:marBottom w:val="0"/>
      <w:divBdr>
        <w:top w:val="none" w:sz="0" w:space="0" w:color="auto"/>
        <w:left w:val="none" w:sz="0" w:space="0" w:color="auto"/>
        <w:bottom w:val="none" w:sz="0" w:space="0" w:color="auto"/>
        <w:right w:val="none" w:sz="0" w:space="0" w:color="auto"/>
      </w:divBdr>
    </w:div>
    <w:div w:id="332346200">
      <w:bodyDiv w:val="1"/>
      <w:marLeft w:val="0"/>
      <w:marRight w:val="0"/>
      <w:marTop w:val="0"/>
      <w:marBottom w:val="0"/>
      <w:divBdr>
        <w:top w:val="none" w:sz="0" w:space="0" w:color="auto"/>
        <w:left w:val="none" w:sz="0" w:space="0" w:color="auto"/>
        <w:bottom w:val="none" w:sz="0" w:space="0" w:color="auto"/>
        <w:right w:val="none" w:sz="0" w:space="0" w:color="auto"/>
      </w:divBdr>
      <w:divsChild>
        <w:div w:id="1551843990">
          <w:marLeft w:val="4950"/>
          <w:marRight w:val="4950"/>
          <w:marTop w:val="0"/>
          <w:marBottom w:val="0"/>
          <w:divBdr>
            <w:top w:val="none" w:sz="0" w:space="0" w:color="auto"/>
            <w:left w:val="none" w:sz="0" w:space="0" w:color="auto"/>
            <w:bottom w:val="none" w:sz="0" w:space="0" w:color="auto"/>
            <w:right w:val="none" w:sz="0" w:space="0" w:color="auto"/>
          </w:divBdr>
          <w:divsChild>
            <w:div w:id="1586571599">
              <w:marLeft w:val="3750"/>
              <w:marRight w:val="3750"/>
              <w:marTop w:val="0"/>
              <w:marBottom w:val="0"/>
              <w:divBdr>
                <w:top w:val="none" w:sz="0" w:space="0" w:color="auto"/>
                <w:left w:val="none" w:sz="0" w:space="0" w:color="auto"/>
                <w:bottom w:val="none" w:sz="0" w:space="0" w:color="auto"/>
                <w:right w:val="none" w:sz="0" w:space="0" w:color="auto"/>
              </w:divBdr>
            </w:div>
          </w:divsChild>
        </w:div>
      </w:divsChild>
    </w:div>
    <w:div w:id="487598943">
      <w:bodyDiv w:val="1"/>
      <w:marLeft w:val="0"/>
      <w:marRight w:val="0"/>
      <w:marTop w:val="0"/>
      <w:marBottom w:val="0"/>
      <w:divBdr>
        <w:top w:val="none" w:sz="0" w:space="0" w:color="auto"/>
        <w:left w:val="none" w:sz="0" w:space="0" w:color="auto"/>
        <w:bottom w:val="none" w:sz="0" w:space="0" w:color="auto"/>
        <w:right w:val="none" w:sz="0" w:space="0" w:color="auto"/>
      </w:divBdr>
      <w:divsChild>
        <w:div w:id="1242375448">
          <w:marLeft w:val="4950"/>
          <w:marRight w:val="4950"/>
          <w:marTop w:val="0"/>
          <w:marBottom w:val="0"/>
          <w:divBdr>
            <w:top w:val="none" w:sz="0" w:space="0" w:color="auto"/>
            <w:left w:val="none" w:sz="0" w:space="0" w:color="auto"/>
            <w:bottom w:val="none" w:sz="0" w:space="0" w:color="auto"/>
            <w:right w:val="none" w:sz="0" w:space="0" w:color="auto"/>
          </w:divBdr>
          <w:divsChild>
            <w:div w:id="570893763">
              <w:marLeft w:val="3750"/>
              <w:marRight w:val="3750"/>
              <w:marTop w:val="0"/>
              <w:marBottom w:val="0"/>
              <w:divBdr>
                <w:top w:val="none" w:sz="0" w:space="0" w:color="auto"/>
                <w:left w:val="none" w:sz="0" w:space="0" w:color="auto"/>
                <w:bottom w:val="none" w:sz="0" w:space="0" w:color="auto"/>
                <w:right w:val="none" w:sz="0" w:space="0" w:color="auto"/>
              </w:divBdr>
            </w:div>
          </w:divsChild>
        </w:div>
      </w:divsChild>
    </w:div>
    <w:div w:id="605237034">
      <w:bodyDiv w:val="1"/>
      <w:marLeft w:val="0"/>
      <w:marRight w:val="0"/>
      <w:marTop w:val="0"/>
      <w:marBottom w:val="0"/>
      <w:divBdr>
        <w:top w:val="none" w:sz="0" w:space="0" w:color="auto"/>
        <w:left w:val="none" w:sz="0" w:space="0" w:color="auto"/>
        <w:bottom w:val="none" w:sz="0" w:space="0" w:color="auto"/>
        <w:right w:val="none" w:sz="0" w:space="0" w:color="auto"/>
      </w:divBdr>
      <w:divsChild>
        <w:div w:id="681469091">
          <w:marLeft w:val="0"/>
          <w:marRight w:val="0"/>
          <w:marTop w:val="0"/>
          <w:marBottom w:val="0"/>
          <w:divBdr>
            <w:top w:val="none" w:sz="0" w:space="0" w:color="auto"/>
            <w:left w:val="none" w:sz="0" w:space="0" w:color="auto"/>
            <w:bottom w:val="none" w:sz="0" w:space="0" w:color="auto"/>
            <w:right w:val="none" w:sz="0" w:space="0" w:color="auto"/>
          </w:divBdr>
        </w:div>
        <w:div w:id="1998336485">
          <w:marLeft w:val="0"/>
          <w:marRight w:val="0"/>
          <w:marTop w:val="0"/>
          <w:marBottom w:val="0"/>
          <w:divBdr>
            <w:top w:val="none" w:sz="0" w:space="0" w:color="auto"/>
            <w:left w:val="none" w:sz="0" w:space="0" w:color="auto"/>
            <w:bottom w:val="none" w:sz="0" w:space="0" w:color="auto"/>
            <w:right w:val="none" w:sz="0" w:space="0" w:color="auto"/>
          </w:divBdr>
        </w:div>
      </w:divsChild>
    </w:div>
    <w:div w:id="640502664">
      <w:bodyDiv w:val="1"/>
      <w:marLeft w:val="0"/>
      <w:marRight w:val="0"/>
      <w:marTop w:val="0"/>
      <w:marBottom w:val="0"/>
      <w:divBdr>
        <w:top w:val="none" w:sz="0" w:space="0" w:color="auto"/>
        <w:left w:val="none" w:sz="0" w:space="0" w:color="auto"/>
        <w:bottom w:val="none" w:sz="0" w:space="0" w:color="auto"/>
        <w:right w:val="none" w:sz="0" w:space="0" w:color="auto"/>
      </w:divBdr>
    </w:div>
    <w:div w:id="663893119">
      <w:bodyDiv w:val="1"/>
      <w:marLeft w:val="0"/>
      <w:marRight w:val="0"/>
      <w:marTop w:val="0"/>
      <w:marBottom w:val="0"/>
      <w:divBdr>
        <w:top w:val="none" w:sz="0" w:space="0" w:color="auto"/>
        <w:left w:val="none" w:sz="0" w:space="0" w:color="auto"/>
        <w:bottom w:val="none" w:sz="0" w:space="0" w:color="auto"/>
        <w:right w:val="none" w:sz="0" w:space="0" w:color="auto"/>
      </w:divBdr>
    </w:div>
    <w:div w:id="788623016">
      <w:bodyDiv w:val="1"/>
      <w:marLeft w:val="0"/>
      <w:marRight w:val="0"/>
      <w:marTop w:val="0"/>
      <w:marBottom w:val="0"/>
      <w:divBdr>
        <w:top w:val="none" w:sz="0" w:space="0" w:color="auto"/>
        <w:left w:val="none" w:sz="0" w:space="0" w:color="auto"/>
        <w:bottom w:val="none" w:sz="0" w:space="0" w:color="auto"/>
        <w:right w:val="none" w:sz="0" w:space="0" w:color="auto"/>
      </w:divBdr>
      <w:divsChild>
        <w:div w:id="1538003625">
          <w:marLeft w:val="0"/>
          <w:marRight w:val="0"/>
          <w:marTop w:val="0"/>
          <w:marBottom w:val="0"/>
          <w:divBdr>
            <w:top w:val="none" w:sz="0" w:space="0" w:color="auto"/>
            <w:left w:val="none" w:sz="0" w:space="0" w:color="auto"/>
            <w:bottom w:val="none" w:sz="0" w:space="0" w:color="auto"/>
            <w:right w:val="none" w:sz="0" w:space="0" w:color="auto"/>
          </w:divBdr>
        </w:div>
        <w:div w:id="2047023507">
          <w:marLeft w:val="0"/>
          <w:marRight w:val="0"/>
          <w:marTop w:val="0"/>
          <w:marBottom w:val="0"/>
          <w:divBdr>
            <w:top w:val="none" w:sz="0" w:space="0" w:color="auto"/>
            <w:left w:val="none" w:sz="0" w:space="0" w:color="auto"/>
            <w:bottom w:val="none" w:sz="0" w:space="0" w:color="auto"/>
            <w:right w:val="none" w:sz="0" w:space="0" w:color="auto"/>
          </w:divBdr>
        </w:div>
      </w:divsChild>
    </w:div>
    <w:div w:id="1010789437">
      <w:bodyDiv w:val="1"/>
      <w:marLeft w:val="0"/>
      <w:marRight w:val="0"/>
      <w:marTop w:val="0"/>
      <w:marBottom w:val="0"/>
      <w:divBdr>
        <w:top w:val="none" w:sz="0" w:space="0" w:color="auto"/>
        <w:left w:val="none" w:sz="0" w:space="0" w:color="auto"/>
        <w:bottom w:val="none" w:sz="0" w:space="0" w:color="auto"/>
        <w:right w:val="none" w:sz="0" w:space="0" w:color="auto"/>
      </w:divBdr>
    </w:div>
    <w:div w:id="1044065090">
      <w:bodyDiv w:val="1"/>
      <w:marLeft w:val="0"/>
      <w:marRight w:val="0"/>
      <w:marTop w:val="0"/>
      <w:marBottom w:val="0"/>
      <w:divBdr>
        <w:top w:val="none" w:sz="0" w:space="0" w:color="auto"/>
        <w:left w:val="none" w:sz="0" w:space="0" w:color="auto"/>
        <w:bottom w:val="none" w:sz="0" w:space="0" w:color="auto"/>
        <w:right w:val="none" w:sz="0" w:space="0" w:color="auto"/>
      </w:divBdr>
    </w:div>
    <w:div w:id="1149519948">
      <w:bodyDiv w:val="1"/>
      <w:marLeft w:val="0"/>
      <w:marRight w:val="0"/>
      <w:marTop w:val="0"/>
      <w:marBottom w:val="0"/>
      <w:divBdr>
        <w:top w:val="none" w:sz="0" w:space="0" w:color="auto"/>
        <w:left w:val="none" w:sz="0" w:space="0" w:color="auto"/>
        <w:bottom w:val="none" w:sz="0" w:space="0" w:color="auto"/>
        <w:right w:val="none" w:sz="0" w:space="0" w:color="auto"/>
      </w:divBdr>
    </w:div>
    <w:div w:id="1211847097">
      <w:bodyDiv w:val="1"/>
      <w:marLeft w:val="0"/>
      <w:marRight w:val="0"/>
      <w:marTop w:val="0"/>
      <w:marBottom w:val="0"/>
      <w:divBdr>
        <w:top w:val="none" w:sz="0" w:space="0" w:color="auto"/>
        <w:left w:val="none" w:sz="0" w:space="0" w:color="auto"/>
        <w:bottom w:val="none" w:sz="0" w:space="0" w:color="auto"/>
        <w:right w:val="none" w:sz="0" w:space="0" w:color="auto"/>
      </w:divBdr>
    </w:div>
    <w:div w:id="1213036588">
      <w:bodyDiv w:val="1"/>
      <w:marLeft w:val="0"/>
      <w:marRight w:val="0"/>
      <w:marTop w:val="0"/>
      <w:marBottom w:val="0"/>
      <w:divBdr>
        <w:top w:val="none" w:sz="0" w:space="0" w:color="auto"/>
        <w:left w:val="none" w:sz="0" w:space="0" w:color="auto"/>
        <w:bottom w:val="none" w:sz="0" w:space="0" w:color="auto"/>
        <w:right w:val="none" w:sz="0" w:space="0" w:color="auto"/>
      </w:divBdr>
      <w:divsChild>
        <w:div w:id="1773278558">
          <w:marLeft w:val="4950"/>
          <w:marRight w:val="4950"/>
          <w:marTop w:val="0"/>
          <w:marBottom w:val="0"/>
          <w:divBdr>
            <w:top w:val="none" w:sz="0" w:space="0" w:color="auto"/>
            <w:left w:val="none" w:sz="0" w:space="0" w:color="auto"/>
            <w:bottom w:val="none" w:sz="0" w:space="0" w:color="auto"/>
            <w:right w:val="none" w:sz="0" w:space="0" w:color="auto"/>
          </w:divBdr>
          <w:divsChild>
            <w:div w:id="826091198">
              <w:marLeft w:val="3750"/>
              <w:marRight w:val="3750"/>
              <w:marTop w:val="0"/>
              <w:marBottom w:val="0"/>
              <w:divBdr>
                <w:top w:val="none" w:sz="0" w:space="0" w:color="auto"/>
                <w:left w:val="none" w:sz="0" w:space="0" w:color="auto"/>
                <w:bottom w:val="none" w:sz="0" w:space="0" w:color="auto"/>
                <w:right w:val="none" w:sz="0" w:space="0" w:color="auto"/>
              </w:divBdr>
            </w:div>
          </w:divsChild>
        </w:div>
      </w:divsChild>
    </w:div>
    <w:div w:id="1231689958">
      <w:bodyDiv w:val="1"/>
      <w:marLeft w:val="0"/>
      <w:marRight w:val="0"/>
      <w:marTop w:val="0"/>
      <w:marBottom w:val="0"/>
      <w:divBdr>
        <w:top w:val="none" w:sz="0" w:space="0" w:color="auto"/>
        <w:left w:val="none" w:sz="0" w:space="0" w:color="auto"/>
        <w:bottom w:val="none" w:sz="0" w:space="0" w:color="auto"/>
        <w:right w:val="none" w:sz="0" w:space="0" w:color="auto"/>
      </w:divBdr>
      <w:divsChild>
        <w:div w:id="1813449610">
          <w:marLeft w:val="4950"/>
          <w:marRight w:val="4950"/>
          <w:marTop w:val="0"/>
          <w:marBottom w:val="0"/>
          <w:divBdr>
            <w:top w:val="none" w:sz="0" w:space="0" w:color="auto"/>
            <w:left w:val="none" w:sz="0" w:space="0" w:color="auto"/>
            <w:bottom w:val="none" w:sz="0" w:space="0" w:color="auto"/>
            <w:right w:val="none" w:sz="0" w:space="0" w:color="auto"/>
          </w:divBdr>
          <w:divsChild>
            <w:div w:id="197669494">
              <w:marLeft w:val="3750"/>
              <w:marRight w:val="3750"/>
              <w:marTop w:val="0"/>
              <w:marBottom w:val="0"/>
              <w:divBdr>
                <w:top w:val="none" w:sz="0" w:space="0" w:color="auto"/>
                <w:left w:val="none" w:sz="0" w:space="0" w:color="auto"/>
                <w:bottom w:val="none" w:sz="0" w:space="0" w:color="auto"/>
                <w:right w:val="none" w:sz="0" w:space="0" w:color="auto"/>
              </w:divBdr>
            </w:div>
          </w:divsChild>
        </w:div>
      </w:divsChild>
    </w:div>
    <w:div w:id="1456756709">
      <w:bodyDiv w:val="1"/>
      <w:marLeft w:val="0"/>
      <w:marRight w:val="0"/>
      <w:marTop w:val="0"/>
      <w:marBottom w:val="0"/>
      <w:divBdr>
        <w:top w:val="none" w:sz="0" w:space="0" w:color="auto"/>
        <w:left w:val="none" w:sz="0" w:space="0" w:color="auto"/>
        <w:bottom w:val="none" w:sz="0" w:space="0" w:color="auto"/>
        <w:right w:val="none" w:sz="0" w:space="0" w:color="auto"/>
      </w:divBdr>
    </w:div>
    <w:div w:id="1619144247">
      <w:bodyDiv w:val="1"/>
      <w:marLeft w:val="0"/>
      <w:marRight w:val="0"/>
      <w:marTop w:val="0"/>
      <w:marBottom w:val="0"/>
      <w:divBdr>
        <w:top w:val="none" w:sz="0" w:space="0" w:color="auto"/>
        <w:left w:val="none" w:sz="0" w:space="0" w:color="auto"/>
        <w:bottom w:val="none" w:sz="0" w:space="0" w:color="auto"/>
        <w:right w:val="none" w:sz="0" w:space="0" w:color="auto"/>
      </w:divBdr>
    </w:div>
    <w:div w:id="1701278425">
      <w:bodyDiv w:val="1"/>
      <w:marLeft w:val="0"/>
      <w:marRight w:val="0"/>
      <w:marTop w:val="0"/>
      <w:marBottom w:val="0"/>
      <w:divBdr>
        <w:top w:val="none" w:sz="0" w:space="0" w:color="auto"/>
        <w:left w:val="none" w:sz="0" w:space="0" w:color="auto"/>
        <w:bottom w:val="none" w:sz="0" w:space="0" w:color="auto"/>
        <w:right w:val="none" w:sz="0" w:space="0" w:color="auto"/>
      </w:divBdr>
    </w:div>
    <w:div w:id="17034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ibousa.com/" TargetMode="External"/><Relationship Id="rId26" Type="http://schemas.openxmlformats.org/officeDocument/2006/relationships/hyperlink" Target="https://www.esselungaacasa.it/ecommerce/nav/welcome/index.html" TargetMode="External"/><Relationship Id="rId39" Type="http://schemas.openxmlformats.org/officeDocument/2006/relationships/hyperlink" Target="http://www.egnam.it/" TargetMode="External"/><Relationship Id="rId21" Type="http://schemas.openxmlformats.org/officeDocument/2006/relationships/hyperlink" Target="https://alvearechedicesi.it/it" TargetMode="External"/><Relationship Id="rId34" Type="http://schemas.openxmlformats.org/officeDocument/2006/relationships/hyperlink" Target="http://www.biocestadelgusto.it/" TargetMode="External"/><Relationship Id="rId42" Type="http://schemas.openxmlformats.org/officeDocument/2006/relationships/hyperlink" Target="https://www.federdistribuzione.it/studi-e-ricerch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sselungaacasa.it/ecommerce/nav/welcome/index.html" TargetMode="External"/><Relationship Id="rId29" Type="http://schemas.openxmlformats.org/officeDocument/2006/relationships/hyperlink" Target="https://www.salumeriabacch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naturasi.it/" TargetMode="External"/><Relationship Id="rId32" Type="http://schemas.openxmlformats.org/officeDocument/2006/relationships/hyperlink" Target="https://www.amazon.it/Amazon-Pantry/b?node=10547410031" TargetMode="External"/><Relationship Id="rId37" Type="http://schemas.openxmlformats.org/officeDocument/2006/relationships/hyperlink" Target="https://www.pesonetto.it/" TargetMode="External"/><Relationship Id="rId40" Type="http://schemas.openxmlformats.org/officeDocument/2006/relationships/hyperlink" Target="https://docplayer.it/148250-Indagine-conoscitiva-sul-settore-della-gdo-ic43.html" TargetMode="External"/><Relationship Id="rId5" Type="http://schemas.openxmlformats.org/officeDocument/2006/relationships/webSettings" Target="webSettings.xml"/><Relationship Id="rId15" Type="http://schemas.openxmlformats.org/officeDocument/2006/relationships/hyperlink" Target="https://www.naturasi.it/" TargetMode="External"/><Relationship Id="rId23" Type="http://schemas.openxmlformats.org/officeDocument/2006/relationships/footer" Target="footer1.xml"/><Relationship Id="rId28" Type="http://schemas.openxmlformats.org/officeDocument/2006/relationships/hyperlink" Target="http://www.lunelli.it/" TargetMode="External"/><Relationship Id="rId36" Type="http://schemas.openxmlformats.org/officeDocument/2006/relationships/hyperlink" Target="https://alvearechedicesi.it/it" TargetMode="External"/><Relationship Id="rId10" Type="http://schemas.openxmlformats.org/officeDocument/2006/relationships/chart" Target="charts/chart2.xml"/><Relationship Id="rId19" Type="http://schemas.openxmlformats.org/officeDocument/2006/relationships/hyperlink" Target="https://www.amazon.it/Amazon-Pantry/b?node=10547410031" TargetMode="External"/><Relationship Id="rId31" Type="http://schemas.openxmlformats.org/officeDocument/2006/relationships/hyperlink" Target="https://www.orientalmart.co.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www.cortilia.it/" TargetMode="External"/><Relationship Id="rId27" Type="http://schemas.openxmlformats.org/officeDocument/2006/relationships/hyperlink" Target="https://www.cooponline.it/" TargetMode="External"/><Relationship Id="rId30" Type="http://schemas.openxmlformats.org/officeDocument/2006/relationships/hyperlink" Target="https://www.cibousa.com/" TargetMode="External"/><Relationship Id="rId35" Type="http://schemas.openxmlformats.org/officeDocument/2006/relationships/hyperlink" Target="http://www.bioexpress.it/" TargetMode="External"/><Relationship Id="rId43" Type="http://schemas.openxmlformats.org/officeDocument/2006/relationships/fontTable" Target="fontTable.xml"/><Relationship Id="rId48" Type="http://schemas.microsoft.com/office/2016/09/relationships/commentsIds" Target="commentsIds.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yperlink" Target="http://www.lunelli.it/" TargetMode="External"/><Relationship Id="rId25" Type="http://schemas.openxmlformats.org/officeDocument/2006/relationships/hyperlink" Target="https://today.eataly.net/?utm_source=eataly&amp;utm_medium=website&amp;utm_campaign=label" TargetMode="External"/><Relationship Id="rId33" Type="http://schemas.openxmlformats.org/officeDocument/2006/relationships/hyperlink" Target="http://www.primotaglio.it/" TargetMode="External"/><Relationship Id="rId38" Type="http://schemas.openxmlformats.org/officeDocument/2006/relationships/hyperlink" Target="https://www.cortilia.it/" TargetMode="External"/><Relationship Id="rId20" Type="http://schemas.openxmlformats.org/officeDocument/2006/relationships/hyperlink" Target="http://www.biocestadelgusto.it/" TargetMode="External"/><Relationship Id="rId41" Type="http://schemas.openxmlformats.org/officeDocument/2006/relationships/hyperlink" Target="http://www.eena.org/download.asp?item_id=17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761143733c5e9ac2/SUS%20Food/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Market</a:t>
            </a:r>
            <a:r>
              <a:rPr lang="it-IT" baseline="0"/>
              <a:t> share of the first 10 GDO groups</a:t>
            </a:r>
            <a:endParaRPr lang="it-IT"/>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Foglio1!$A$1:$A$10</c:f>
              <c:strCache>
                <c:ptCount val="10"/>
                <c:pt idx="0">
                  <c:v>Coop</c:v>
                </c:pt>
                <c:pt idx="1">
                  <c:v>Conad</c:v>
                </c:pt>
                <c:pt idx="2">
                  <c:v>Selex</c:v>
                </c:pt>
                <c:pt idx="3">
                  <c:v>Esselunga</c:v>
                </c:pt>
                <c:pt idx="4">
                  <c:v>Auchan</c:v>
                </c:pt>
                <c:pt idx="5">
                  <c:v>Carrefour</c:v>
                </c:pt>
                <c:pt idx="6">
                  <c:v>Eurospin</c:v>
                </c:pt>
                <c:pt idx="7">
                  <c:v>Gruppo Ve'Ge'</c:v>
                </c:pt>
                <c:pt idx="8">
                  <c:v>Lidl</c:v>
                </c:pt>
                <c:pt idx="9">
                  <c:v>Pam</c:v>
                </c:pt>
              </c:strCache>
            </c:strRef>
          </c:cat>
          <c:val>
            <c:numRef>
              <c:f>Foglio1!$B$1:$B$10</c:f>
              <c:numCache>
                <c:formatCode>General</c:formatCode>
                <c:ptCount val="10"/>
                <c:pt idx="0">
                  <c:v>14.2</c:v>
                </c:pt>
                <c:pt idx="1">
                  <c:v>12</c:v>
                </c:pt>
                <c:pt idx="2">
                  <c:v>9.9</c:v>
                </c:pt>
                <c:pt idx="3">
                  <c:v>9</c:v>
                </c:pt>
                <c:pt idx="4">
                  <c:v>6.3</c:v>
                </c:pt>
                <c:pt idx="5">
                  <c:v>6.1</c:v>
                </c:pt>
                <c:pt idx="6">
                  <c:v>5.6</c:v>
                </c:pt>
                <c:pt idx="7">
                  <c:v>4</c:v>
                </c:pt>
                <c:pt idx="8">
                  <c:v>3.1</c:v>
                </c:pt>
                <c:pt idx="9">
                  <c:v>2.9</c:v>
                </c:pt>
              </c:numCache>
            </c:numRef>
          </c:val>
          <c:extLst>
            <c:ext xmlns:c16="http://schemas.microsoft.com/office/drawing/2014/chart" uri="{C3380CC4-5D6E-409C-BE32-E72D297353CC}">
              <c16:uniqueId val="{00000000-0115-4BF6-9957-C04BED4F8B2E}"/>
            </c:ext>
          </c:extLst>
        </c:ser>
        <c:dLbls>
          <c:showLegendKey val="0"/>
          <c:showVal val="0"/>
          <c:showCatName val="0"/>
          <c:showSerName val="0"/>
          <c:showPercent val="0"/>
          <c:showBubbleSize val="0"/>
        </c:dLbls>
        <c:gapWidth val="219"/>
        <c:overlap val="-27"/>
        <c:axId val="175056768"/>
        <c:axId val="175058304"/>
      </c:barChart>
      <c:catAx>
        <c:axId val="17505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58304"/>
        <c:crosses val="autoZero"/>
        <c:auto val="1"/>
        <c:lblAlgn val="ctr"/>
        <c:lblOffset val="100"/>
        <c:noMultiLvlLbl val="0"/>
      </c:catAx>
      <c:valAx>
        <c:axId val="17505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56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t-IT"/>
              <a:t>Market share evolution</a:t>
            </a:r>
          </a:p>
        </c:rich>
      </c:tx>
      <c:overlay val="0"/>
      <c:spPr>
        <a:noFill/>
        <a:ln>
          <a:noFill/>
        </a:ln>
        <a:effectLst/>
      </c:spPr>
    </c:title>
    <c:autoTitleDeleted val="0"/>
    <c:plotArea>
      <c:layout/>
      <c:barChart>
        <c:barDir val="col"/>
        <c:grouping val="stacked"/>
        <c:varyColors val="0"/>
        <c:ser>
          <c:idx val="0"/>
          <c:order val="0"/>
          <c:tx>
            <c:strRef>
              <c:f>Foglio2!$A$3</c:f>
              <c:strCache>
                <c:ptCount val="1"/>
                <c:pt idx="0">
                  <c:v>Hypermarket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Foglio2!$B$1:$G$2</c:f>
              <c:multiLvlStrCache>
                <c:ptCount val="6"/>
                <c:lvl>
                  <c:pt idx="0">
                    <c:v>2000</c:v>
                  </c:pt>
                  <c:pt idx="1">
                    <c:v>…</c:v>
                  </c:pt>
                  <c:pt idx="2">
                    <c:v>2013</c:v>
                  </c:pt>
                  <c:pt idx="3">
                    <c:v>2014</c:v>
                  </c:pt>
                  <c:pt idx="4">
                    <c:v>2015</c:v>
                  </c:pt>
                  <c:pt idx="5">
                    <c:v>2016</c:v>
                  </c:pt>
                </c:lvl>
                <c:lvl>
                  <c:pt idx="0">
                    <c:v>Market share</c:v>
                  </c:pt>
                </c:lvl>
              </c:multiLvlStrCache>
            </c:multiLvlStrRef>
          </c:cat>
          <c:val>
            <c:numRef>
              <c:f>Foglio2!$B$3:$G$3</c:f>
              <c:numCache>
                <c:formatCode>General</c:formatCode>
                <c:ptCount val="6"/>
                <c:pt idx="0">
                  <c:v>7.6</c:v>
                </c:pt>
                <c:pt idx="2">
                  <c:v>11.1</c:v>
                </c:pt>
                <c:pt idx="3">
                  <c:v>10.7</c:v>
                </c:pt>
                <c:pt idx="4">
                  <c:v>10.5</c:v>
                </c:pt>
                <c:pt idx="5">
                  <c:v>10.199999999999999</c:v>
                </c:pt>
              </c:numCache>
            </c:numRef>
          </c:val>
          <c:extLst>
            <c:ext xmlns:c16="http://schemas.microsoft.com/office/drawing/2014/chart" uri="{C3380CC4-5D6E-409C-BE32-E72D297353CC}">
              <c16:uniqueId val="{00000000-A72B-4525-8FFA-3E1238C6EC58}"/>
            </c:ext>
          </c:extLst>
        </c:ser>
        <c:ser>
          <c:idx val="1"/>
          <c:order val="1"/>
          <c:tx>
            <c:strRef>
              <c:f>Foglio2!$A$4</c:f>
              <c:strCache>
                <c:ptCount val="1"/>
                <c:pt idx="0">
                  <c:v>Supermarket and Superstores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Foglio2!$B$1:$G$2</c:f>
              <c:multiLvlStrCache>
                <c:ptCount val="6"/>
                <c:lvl>
                  <c:pt idx="0">
                    <c:v>2000</c:v>
                  </c:pt>
                  <c:pt idx="1">
                    <c:v>…</c:v>
                  </c:pt>
                  <c:pt idx="2">
                    <c:v>2013</c:v>
                  </c:pt>
                  <c:pt idx="3">
                    <c:v>2014</c:v>
                  </c:pt>
                  <c:pt idx="4">
                    <c:v>2015</c:v>
                  </c:pt>
                  <c:pt idx="5">
                    <c:v>2016</c:v>
                  </c:pt>
                </c:lvl>
                <c:lvl>
                  <c:pt idx="0">
                    <c:v>Market share</c:v>
                  </c:pt>
                </c:lvl>
              </c:multiLvlStrCache>
            </c:multiLvlStrRef>
          </c:cat>
          <c:val>
            <c:numRef>
              <c:f>Foglio2!$B$4:$G$4</c:f>
              <c:numCache>
                <c:formatCode>General</c:formatCode>
                <c:ptCount val="6"/>
                <c:pt idx="0">
                  <c:v>37.299999999999997</c:v>
                </c:pt>
                <c:pt idx="2">
                  <c:v>41.2</c:v>
                </c:pt>
                <c:pt idx="3">
                  <c:v>42.1</c:v>
                </c:pt>
                <c:pt idx="4">
                  <c:v>42.5</c:v>
                </c:pt>
                <c:pt idx="5">
                  <c:v>42.8</c:v>
                </c:pt>
              </c:numCache>
            </c:numRef>
          </c:val>
          <c:extLst>
            <c:ext xmlns:c16="http://schemas.microsoft.com/office/drawing/2014/chart" uri="{C3380CC4-5D6E-409C-BE32-E72D297353CC}">
              <c16:uniqueId val="{00000001-A72B-4525-8FFA-3E1238C6EC58}"/>
            </c:ext>
          </c:extLst>
        </c:ser>
        <c:ser>
          <c:idx val="2"/>
          <c:order val="2"/>
          <c:tx>
            <c:strRef>
              <c:f>Foglio2!$A$5</c:f>
              <c:strCache>
                <c:ptCount val="1"/>
                <c:pt idx="0">
                  <c:v>Superettes and Minimarkets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Foglio2!$B$1:$G$2</c:f>
              <c:multiLvlStrCache>
                <c:ptCount val="6"/>
                <c:lvl>
                  <c:pt idx="0">
                    <c:v>2000</c:v>
                  </c:pt>
                  <c:pt idx="1">
                    <c:v>…</c:v>
                  </c:pt>
                  <c:pt idx="2">
                    <c:v>2013</c:v>
                  </c:pt>
                  <c:pt idx="3">
                    <c:v>2014</c:v>
                  </c:pt>
                  <c:pt idx="4">
                    <c:v>2015</c:v>
                  </c:pt>
                  <c:pt idx="5">
                    <c:v>2016</c:v>
                  </c:pt>
                </c:lvl>
                <c:lvl>
                  <c:pt idx="0">
                    <c:v>Market share</c:v>
                  </c:pt>
                </c:lvl>
              </c:multiLvlStrCache>
            </c:multiLvlStrRef>
          </c:cat>
          <c:val>
            <c:numRef>
              <c:f>Foglio2!$B$5:$G$5</c:f>
              <c:numCache>
                <c:formatCode>General</c:formatCode>
                <c:ptCount val="6"/>
                <c:pt idx="0">
                  <c:v>12</c:v>
                </c:pt>
                <c:pt idx="2">
                  <c:v>9</c:v>
                </c:pt>
                <c:pt idx="3">
                  <c:v>8.6999999999999993</c:v>
                </c:pt>
                <c:pt idx="4">
                  <c:v>8.3000000000000007</c:v>
                </c:pt>
                <c:pt idx="5">
                  <c:v>7.7</c:v>
                </c:pt>
              </c:numCache>
            </c:numRef>
          </c:val>
          <c:extLst>
            <c:ext xmlns:c16="http://schemas.microsoft.com/office/drawing/2014/chart" uri="{C3380CC4-5D6E-409C-BE32-E72D297353CC}">
              <c16:uniqueId val="{00000002-A72B-4525-8FFA-3E1238C6EC58}"/>
            </c:ext>
          </c:extLst>
        </c:ser>
        <c:ser>
          <c:idx val="3"/>
          <c:order val="3"/>
          <c:tx>
            <c:strRef>
              <c:f>Foglio2!$A$6</c:f>
              <c:strCache>
                <c:ptCount val="1"/>
                <c:pt idx="0">
                  <c:v>Hard Discount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Foglio2!$B$1:$G$2</c:f>
              <c:multiLvlStrCache>
                <c:ptCount val="6"/>
                <c:lvl>
                  <c:pt idx="0">
                    <c:v>2000</c:v>
                  </c:pt>
                  <c:pt idx="1">
                    <c:v>…</c:v>
                  </c:pt>
                  <c:pt idx="2">
                    <c:v>2013</c:v>
                  </c:pt>
                  <c:pt idx="3">
                    <c:v>2014</c:v>
                  </c:pt>
                  <c:pt idx="4">
                    <c:v>2015</c:v>
                  </c:pt>
                  <c:pt idx="5">
                    <c:v>2016</c:v>
                  </c:pt>
                </c:lvl>
                <c:lvl>
                  <c:pt idx="0">
                    <c:v>Market share</c:v>
                  </c:pt>
                </c:lvl>
              </c:multiLvlStrCache>
            </c:multiLvlStrRef>
          </c:cat>
          <c:val>
            <c:numRef>
              <c:f>Foglio2!$B$6:$G$6</c:f>
              <c:numCache>
                <c:formatCode>General</c:formatCode>
                <c:ptCount val="6"/>
                <c:pt idx="0">
                  <c:v>6.2</c:v>
                </c:pt>
                <c:pt idx="2">
                  <c:v>11.1</c:v>
                </c:pt>
                <c:pt idx="3">
                  <c:v>11.4</c:v>
                </c:pt>
                <c:pt idx="4">
                  <c:v>11.8</c:v>
                </c:pt>
                <c:pt idx="5">
                  <c:v>12.8</c:v>
                </c:pt>
              </c:numCache>
            </c:numRef>
          </c:val>
          <c:extLst>
            <c:ext xmlns:c16="http://schemas.microsoft.com/office/drawing/2014/chart" uri="{C3380CC4-5D6E-409C-BE32-E72D297353CC}">
              <c16:uniqueId val="{00000003-A72B-4525-8FFA-3E1238C6EC58}"/>
            </c:ext>
          </c:extLst>
        </c:ser>
        <c:ser>
          <c:idx val="4"/>
          <c:order val="4"/>
          <c:tx>
            <c:strRef>
              <c:f>Foglio2!$A$7</c:f>
              <c:strCache>
                <c:ptCount val="1"/>
                <c:pt idx="0">
                  <c:v>Traditional Shops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Foglio2!$B$1:$G$2</c:f>
              <c:multiLvlStrCache>
                <c:ptCount val="6"/>
                <c:lvl>
                  <c:pt idx="0">
                    <c:v>2000</c:v>
                  </c:pt>
                  <c:pt idx="1">
                    <c:v>…</c:v>
                  </c:pt>
                  <c:pt idx="2">
                    <c:v>2013</c:v>
                  </c:pt>
                  <c:pt idx="3">
                    <c:v>2014</c:v>
                  </c:pt>
                  <c:pt idx="4">
                    <c:v>2015</c:v>
                  </c:pt>
                  <c:pt idx="5">
                    <c:v>2016</c:v>
                  </c:pt>
                </c:lvl>
                <c:lvl>
                  <c:pt idx="0">
                    <c:v>Market share</c:v>
                  </c:pt>
                </c:lvl>
              </c:multiLvlStrCache>
            </c:multiLvlStrRef>
          </c:cat>
          <c:val>
            <c:numRef>
              <c:f>Foglio2!$B$7:$G$7</c:f>
              <c:numCache>
                <c:formatCode>General</c:formatCode>
                <c:ptCount val="6"/>
                <c:pt idx="0">
                  <c:v>27.1</c:v>
                </c:pt>
                <c:pt idx="2">
                  <c:v>17.5</c:v>
                </c:pt>
                <c:pt idx="3">
                  <c:v>16.899999999999999</c:v>
                </c:pt>
                <c:pt idx="4">
                  <c:v>16.7</c:v>
                </c:pt>
                <c:pt idx="5">
                  <c:v>16.3</c:v>
                </c:pt>
              </c:numCache>
            </c:numRef>
          </c:val>
          <c:extLst>
            <c:ext xmlns:c16="http://schemas.microsoft.com/office/drawing/2014/chart" uri="{C3380CC4-5D6E-409C-BE32-E72D297353CC}">
              <c16:uniqueId val="{00000004-A72B-4525-8FFA-3E1238C6EC58}"/>
            </c:ext>
          </c:extLst>
        </c:ser>
        <c:ser>
          <c:idx val="5"/>
          <c:order val="5"/>
          <c:tx>
            <c:strRef>
              <c:f>Foglio2!$A$8</c:f>
              <c:strCache>
                <c:ptCount val="1"/>
                <c:pt idx="0">
                  <c:v>Street sellers and others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Foglio2!$B$1:$G$2</c:f>
              <c:multiLvlStrCache>
                <c:ptCount val="6"/>
                <c:lvl>
                  <c:pt idx="0">
                    <c:v>2000</c:v>
                  </c:pt>
                  <c:pt idx="1">
                    <c:v>…</c:v>
                  </c:pt>
                  <c:pt idx="2">
                    <c:v>2013</c:v>
                  </c:pt>
                  <c:pt idx="3">
                    <c:v>2014</c:v>
                  </c:pt>
                  <c:pt idx="4">
                    <c:v>2015</c:v>
                  </c:pt>
                  <c:pt idx="5">
                    <c:v>2016</c:v>
                  </c:pt>
                </c:lvl>
                <c:lvl>
                  <c:pt idx="0">
                    <c:v>Market share</c:v>
                  </c:pt>
                </c:lvl>
              </c:multiLvlStrCache>
            </c:multiLvlStrRef>
          </c:cat>
          <c:val>
            <c:numRef>
              <c:f>Foglio2!$B$8:$G$8</c:f>
              <c:numCache>
                <c:formatCode>General</c:formatCode>
                <c:ptCount val="6"/>
                <c:pt idx="0">
                  <c:v>9.8000000000000007</c:v>
                </c:pt>
                <c:pt idx="2">
                  <c:v>10.1</c:v>
                </c:pt>
                <c:pt idx="3">
                  <c:v>10.199999999999999</c:v>
                </c:pt>
                <c:pt idx="4">
                  <c:v>10.199999999999999</c:v>
                </c:pt>
                <c:pt idx="5">
                  <c:v>10.199999999999999</c:v>
                </c:pt>
              </c:numCache>
            </c:numRef>
          </c:val>
          <c:extLst>
            <c:ext xmlns:c16="http://schemas.microsoft.com/office/drawing/2014/chart" uri="{C3380CC4-5D6E-409C-BE32-E72D297353CC}">
              <c16:uniqueId val="{00000005-A72B-4525-8FFA-3E1238C6EC58}"/>
            </c:ext>
          </c:extLst>
        </c:ser>
        <c:dLbls>
          <c:dLblPos val="ctr"/>
          <c:showLegendKey val="0"/>
          <c:showVal val="1"/>
          <c:showCatName val="0"/>
          <c:showSerName val="0"/>
          <c:showPercent val="0"/>
          <c:showBubbleSize val="0"/>
        </c:dLbls>
        <c:gapWidth val="79"/>
        <c:overlap val="100"/>
        <c:axId val="175255552"/>
        <c:axId val="175257088"/>
      </c:barChart>
      <c:catAx>
        <c:axId val="175255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75257088"/>
        <c:crosses val="autoZero"/>
        <c:auto val="1"/>
        <c:lblAlgn val="ctr"/>
        <c:lblOffset val="100"/>
        <c:noMultiLvlLbl val="0"/>
      </c:catAx>
      <c:valAx>
        <c:axId val="175257088"/>
        <c:scaling>
          <c:orientation val="minMax"/>
        </c:scaling>
        <c:delete val="1"/>
        <c:axPos val="l"/>
        <c:numFmt formatCode="General" sourceLinked="1"/>
        <c:majorTickMark val="none"/>
        <c:minorTickMark val="none"/>
        <c:tickLblPos val="nextTo"/>
        <c:crossAx val="1752555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it-IT"/>
              <a:t>Market share evolution: GDO vs CDS</a:t>
            </a:r>
          </a:p>
        </c:rich>
      </c:tx>
      <c:overlay val="0"/>
      <c:spPr>
        <a:noFill/>
        <a:ln>
          <a:noFill/>
        </a:ln>
        <a:effectLst/>
      </c:spPr>
    </c:title>
    <c:autoTitleDeleted val="0"/>
    <c:plotArea>
      <c:layout/>
      <c:barChart>
        <c:barDir val="col"/>
        <c:grouping val="clustered"/>
        <c:varyColors val="0"/>
        <c:ser>
          <c:idx val="0"/>
          <c:order val="0"/>
          <c:tx>
            <c:strRef>
              <c:f>Foglio2!$A$14</c:f>
              <c:strCache>
                <c:ptCount val="1"/>
                <c:pt idx="0">
                  <c:v>GDO</c:v>
                </c:pt>
              </c:strCache>
            </c:strRef>
          </c:tx>
          <c:spPr>
            <a:solidFill>
              <a:schemeClr val="accent1"/>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CAC7-413F-8903-98ADD151871C}"/>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Foglio2!$B$12:$G$13</c:f>
              <c:multiLvlStrCache>
                <c:ptCount val="6"/>
                <c:lvl>
                  <c:pt idx="0">
                    <c:v>2000</c:v>
                  </c:pt>
                  <c:pt idx="1">
                    <c:v>…</c:v>
                  </c:pt>
                  <c:pt idx="2">
                    <c:v>2013</c:v>
                  </c:pt>
                  <c:pt idx="3">
                    <c:v>2014</c:v>
                  </c:pt>
                  <c:pt idx="4">
                    <c:v>2015</c:v>
                  </c:pt>
                  <c:pt idx="5">
                    <c:v>2016</c:v>
                  </c:pt>
                </c:lvl>
                <c:lvl>
                  <c:pt idx="0">
                    <c:v>Market share</c:v>
                  </c:pt>
                </c:lvl>
              </c:multiLvlStrCache>
            </c:multiLvlStrRef>
          </c:cat>
          <c:val>
            <c:numRef>
              <c:f>Foglio2!$B$14:$G$14</c:f>
              <c:numCache>
                <c:formatCode>General</c:formatCode>
                <c:ptCount val="6"/>
                <c:pt idx="0">
                  <c:v>63.1</c:v>
                </c:pt>
                <c:pt idx="1">
                  <c:v>0</c:v>
                </c:pt>
                <c:pt idx="2">
                  <c:v>72.400000000000006</c:v>
                </c:pt>
                <c:pt idx="3">
                  <c:v>72.900000000000006</c:v>
                </c:pt>
                <c:pt idx="4">
                  <c:v>73.099999999999994</c:v>
                </c:pt>
                <c:pt idx="5">
                  <c:v>73.5</c:v>
                </c:pt>
              </c:numCache>
            </c:numRef>
          </c:val>
          <c:extLst>
            <c:ext xmlns:c16="http://schemas.microsoft.com/office/drawing/2014/chart" uri="{C3380CC4-5D6E-409C-BE32-E72D297353CC}">
              <c16:uniqueId val="{00000000-CAC7-413F-8903-98ADD151871C}"/>
            </c:ext>
          </c:extLst>
        </c:ser>
        <c:ser>
          <c:idx val="1"/>
          <c:order val="1"/>
          <c:tx>
            <c:strRef>
              <c:f>Foglio2!$A$15</c:f>
              <c:strCache>
                <c:ptCount val="1"/>
                <c:pt idx="0">
                  <c:v>CDS</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3-CAC7-413F-8903-98ADD15187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Foglio2!$B$12:$G$13</c:f>
              <c:multiLvlStrCache>
                <c:ptCount val="6"/>
                <c:lvl>
                  <c:pt idx="0">
                    <c:v>2000</c:v>
                  </c:pt>
                  <c:pt idx="1">
                    <c:v>…</c:v>
                  </c:pt>
                  <c:pt idx="2">
                    <c:v>2013</c:v>
                  </c:pt>
                  <c:pt idx="3">
                    <c:v>2014</c:v>
                  </c:pt>
                  <c:pt idx="4">
                    <c:v>2015</c:v>
                  </c:pt>
                  <c:pt idx="5">
                    <c:v>2016</c:v>
                  </c:pt>
                </c:lvl>
                <c:lvl>
                  <c:pt idx="0">
                    <c:v>Market share</c:v>
                  </c:pt>
                </c:lvl>
              </c:multiLvlStrCache>
            </c:multiLvlStrRef>
          </c:cat>
          <c:val>
            <c:numRef>
              <c:f>Foglio2!$B$15:$G$15</c:f>
              <c:numCache>
                <c:formatCode>General</c:formatCode>
                <c:ptCount val="6"/>
                <c:pt idx="0">
                  <c:v>36.900000000000006</c:v>
                </c:pt>
                <c:pt idx="1">
                  <c:v>0</c:v>
                </c:pt>
                <c:pt idx="2">
                  <c:v>27.6</c:v>
                </c:pt>
                <c:pt idx="3">
                  <c:v>27.099999999999998</c:v>
                </c:pt>
                <c:pt idx="4">
                  <c:v>26.9</c:v>
                </c:pt>
                <c:pt idx="5">
                  <c:v>26.5</c:v>
                </c:pt>
              </c:numCache>
            </c:numRef>
          </c:val>
          <c:extLst>
            <c:ext xmlns:c16="http://schemas.microsoft.com/office/drawing/2014/chart" uri="{C3380CC4-5D6E-409C-BE32-E72D297353CC}">
              <c16:uniqueId val="{00000001-CAC7-413F-8903-98ADD151871C}"/>
            </c:ext>
          </c:extLst>
        </c:ser>
        <c:dLbls>
          <c:dLblPos val="outEnd"/>
          <c:showLegendKey val="0"/>
          <c:showVal val="1"/>
          <c:showCatName val="0"/>
          <c:showSerName val="0"/>
          <c:showPercent val="0"/>
          <c:showBubbleSize val="0"/>
        </c:dLbls>
        <c:gapWidth val="199"/>
        <c:axId val="175301376"/>
        <c:axId val="175302912"/>
      </c:barChart>
      <c:catAx>
        <c:axId val="175301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75302912"/>
        <c:crosses val="autoZero"/>
        <c:auto val="1"/>
        <c:lblAlgn val="ctr"/>
        <c:lblOffset val="100"/>
        <c:noMultiLvlLbl val="0"/>
      </c:catAx>
      <c:valAx>
        <c:axId val="1753029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301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t-IT" sz="1200"/>
              <a:t>Number of CDS by Food typology : 2000 vs 2017</a:t>
            </a:r>
          </a:p>
        </c:rich>
      </c:tx>
      <c:overlay val="0"/>
      <c:spPr>
        <a:noFill/>
        <a:ln>
          <a:noFill/>
        </a:ln>
        <a:effectLst/>
      </c:spPr>
    </c:title>
    <c:autoTitleDeleted val="0"/>
    <c:plotArea>
      <c:layout/>
      <c:barChart>
        <c:barDir val="col"/>
        <c:grouping val="clustered"/>
        <c:varyColors val="0"/>
        <c:ser>
          <c:idx val="0"/>
          <c:order val="0"/>
          <c:tx>
            <c:strRef>
              <c:f>Foglio3!$C$3</c:f>
              <c:strCache>
                <c:ptCount val="1"/>
                <c:pt idx="0">
                  <c:v>2000</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Foglio3!$B$4:$B$10</c:f>
              <c:strCache>
                <c:ptCount val="7"/>
                <c:pt idx="0">
                  <c:v>Fruit and vegetables</c:v>
                </c:pt>
                <c:pt idx="1">
                  <c:v>Butcher shop</c:v>
                </c:pt>
                <c:pt idx="2">
                  <c:v>Fish and Seafood shop</c:v>
                </c:pt>
                <c:pt idx="3">
                  <c:v>Bakery</c:v>
                </c:pt>
                <c:pt idx="4">
                  <c:v>Drink shops and wineries</c:v>
                </c:pt>
                <c:pt idx="5">
                  <c:v>Others specialised</c:v>
                </c:pt>
                <c:pt idx="6">
                  <c:v>Total</c:v>
                </c:pt>
              </c:strCache>
            </c:strRef>
          </c:cat>
          <c:val>
            <c:numRef>
              <c:f>Foglio3!$C$4:$C$10</c:f>
              <c:numCache>
                <c:formatCode>General</c:formatCode>
                <c:ptCount val="7"/>
                <c:pt idx="0">
                  <c:v>24502</c:v>
                </c:pt>
                <c:pt idx="1">
                  <c:v>41729</c:v>
                </c:pt>
                <c:pt idx="2">
                  <c:v>7830</c:v>
                </c:pt>
                <c:pt idx="3">
                  <c:v>13751</c:v>
                </c:pt>
                <c:pt idx="4">
                  <c:v>5134</c:v>
                </c:pt>
                <c:pt idx="5">
                  <c:v>27851</c:v>
                </c:pt>
                <c:pt idx="6">
                  <c:v>92946</c:v>
                </c:pt>
              </c:numCache>
            </c:numRef>
          </c:val>
          <c:extLst>
            <c:ext xmlns:c16="http://schemas.microsoft.com/office/drawing/2014/chart" uri="{C3380CC4-5D6E-409C-BE32-E72D297353CC}">
              <c16:uniqueId val="{00000000-81D6-44D5-9DB2-9B71FD318472}"/>
            </c:ext>
          </c:extLst>
        </c:ser>
        <c:ser>
          <c:idx val="1"/>
          <c:order val="1"/>
          <c:tx>
            <c:strRef>
              <c:f>Foglio3!$D$3</c:f>
              <c:strCache>
                <c:ptCount val="1"/>
                <c:pt idx="0">
                  <c:v>2017</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Foglio3!$B$4:$B$10</c:f>
              <c:strCache>
                <c:ptCount val="7"/>
                <c:pt idx="0">
                  <c:v>Fruit and vegetables</c:v>
                </c:pt>
                <c:pt idx="1">
                  <c:v>Butcher shop</c:v>
                </c:pt>
                <c:pt idx="2">
                  <c:v>Fish and Seafood shop</c:v>
                </c:pt>
                <c:pt idx="3">
                  <c:v>Bakery</c:v>
                </c:pt>
                <c:pt idx="4">
                  <c:v>Drink shops and wineries</c:v>
                </c:pt>
                <c:pt idx="5">
                  <c:v>Others specialised</c:v>
                </c:pt>
                <c:pt idx="6">
                  <c:v>Total</c:v>
                </c:pt>
              </c:strCache>
            </c:strRef>
          </c:cat>
          <c:val>
            <c:numRef>
              <c:f>Foglio3!$D$4:$D$10</c:f>
              <c:numCache>
                <c:formatCode>General</c:formatCode>
                <c:ptCount val="7"/>
                <c:pt idx="0">
                  <c:v>22048</c:v>
                </c:pt>
                <c:pt idx="1">
                  <c:v>30508</c:v>
                </c:pt>
                <c:pt idx="2">
                  <c:v>8710</c:v>
                </c:pt>
                <c:pt idx="3">
                  <c:v>11944</c:v>
                </c:pt>
                <c:pt idx="4">
                  <c:v>6547</c:v>
                </c:pt>
                <c:pt idx="5">
                  <c:v>14198</c:v>
                </c:pt>
                <c:pt idx="6">
                  <c:v>79757</c:v>
                </c:pt>
              </c:numCache>
            </c:numRef>
          </c:val>
          <c:extLst>
            <c:ext xmlns:c16="http://schemas.microsoft.com/office/drawing/2014/chart" uri="{C3380CC4-5D6E-409C-BE32-E72D297353CC}">
              <c16:uniqueId val="{00000001-81D6-44D5-9DB2-9B71FD318472}"/>
            </c:ext>
          </c:extLst>
        </c:ser>
        <c:dLbls>
          <c:dLblPos val="outEnd"/>
          <c:showLegendKey val="0"/>
          <c:showVal val="1"/>
          <c:showCatName val="0"/>
          <c:showSerName val="0"/>
          <c:showPercent val="0"/>
          <c:showBubbleSize val="0"/>
        </c:dLbls>
        <c:gapWidth val="444"/>
        <c:overlap val="-90"/>
        <c:axId val="233575168"/>
        <c:axId val="233576704"/>
      </c:barChart>
      <c:catAx>
        <c:axId val="233575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33576704"/>
        <c:crosses val="autoZero"/>
        <c:auto val="1"/>
        <c:lblAlgn val="ctr"/>
        <c:lblOffset val="100"/>
        <c:noMultiLvlLbl val="0"/>
      </c:catAx>
      <c:valAx>
        <c:axId val="233576704"/>
        <c:scaling>
          <c:orientation val="minMax"/>
        </c:scaling>
        <c:delete val="1"/>
        <c:axPos val="l"/>
        <c:numFmt formatCode="General" sourceLinked="1"/>
        <c:majorTickMark val="none"/>
        <c:minorTickMark val="none"/>
        <c:tickLblPos val="nextTo"/>
        <c:crossAx val="233575168"/>
        <c:crosses val="autoZero"/>
        <c:crossBetween val="between"/>
        <c:dispUnits>
          <c:builtInUnit val="hundreds"/>
          <c:dispUnitsLbl>
            <c:layout>
              <c:manualLayout>
                <c:xMode val="edge"/>
                <c:yMode val="edge"/>
                <c:x val="3.0555555555555555E-2"/>
                <c:y val="0.33374999999999999"/>
              </c:manualLayout>
            </c:layout>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t-IT"/>
                    <a:t>Hundreds</a:t>
                  </a:r>
                </a:p>
              </c:rich>
            </c:tx>
            <c:spPr>
              <a:noFill/>
              <a:ln>
                <a:noFill/>
              </a:ln>
              <a:effectLst/>
            </c:spPr>
          </c:dispUnitsLbl>
        </c:dispUnits>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2A1F-C66C-4BE9-83AD-2625B2E5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6702</Words>
  <Characters>38204</Characters>
  <Application>Microsoft Office Word</Application>
  <DocSecurity>0</DocSecurity>
  <Lines>318</Lines>
  <Paragraphs>89</Paragraphs>
  <ScaleCrop>false</ScaleCrop>
  <HeadingPairs>
    <vt:vector size="4" baseType="variant">
      <vt:variant>
        <vt:lpstr>Titolo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Filippo Oncini</dc:creator>
  <cp:lastModifiedBy>Francesca Forno</cp:lastModifiedBy>
  <cp:revision>57</cp:revision>
  <cp:lastPrinted>2018-08-16T12:48:00Z</cp:lastPrinted>
  <dcterms:created xsi:type="dcterms:W3CDTF">2018-08-13T14:10:00Z</dcterms:created>
  <dcterms:modified xsi:type="dcterms:W3CDTF">2018-08-16T12:49:00Z</dcterms:modified>
</cp:coreProperties>
</file>