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4F96B" w14:textId="0DBA889A" w:rsidR="00934EFA" w:rsidRPr="005345FB" w:rsidRDefault="00B61398" w:rsidP="004D087F">
      <w:pPr>
        <w:pStyle w:val="Overskrift1"/>
        <w:spacing w:before="0" w:line="276" w:lineRule="auto"/>
        <w:rPr>
          <w:rFonts w:ascii="Times New Roman" w:hAnsi="Times New Roman" w:cs="Times New Roman"/>
          <w:color w:val="auto"/>
          <w:sz w:val="40"/>
          <w:szCs w:val="40"/>
          <w:lang w:val="en-US" w:eastAsia="en-US"/>
        </w:rPr>
      </w:pPr>
      <w:r>
        <w:rPr>
          <w:rFonts w:ascii="Times New Roman" w:hAnsi="Times New Roman" w:cs="Times New Roman"/>
          <w:color w:val="auto"/>
          <w:sz w:val="40"/>
          <w:szCs w:val="40"/>
          <w:lang w:val="en-US" w:eastAsia="en-US"/>
        </w:rPr>
        <w:t>Country</w:t>
      </w:r>
      <w:r w:rsidR="00934EFA" w:rsidRPr="005345FB">
        <w:rPr>
          <w:rFonts w:ascii="Times New Roman" w:hAnsi="Times New Roman" w:cs="Times New Roman"/>
          <w:color w:val="auto"/>
          <w:sz w:val="40"/>
          <w:szCs w:val="40"/>
          <w:lang w:val="en-US" w:eastAsia="en-US"/>
        </w:rPr>
        <w:t xml:space="preserve"> </w:t>
      </w:r>
      <w:r>
        <w:rPr>
          <w:rFonts w:ascii="Times New Roman" w:hAnsi="Times New Roman" w:cs="Times New Roman"/>
          <w:color w:val="auto"/>
          <w:sz w:val="40"/>
          <w:szCs w:val="40"/>
          <w:lang w:val="en-US" w:eastAsia="en-US"/>
        </w:rPr>
        <w:t>report</w:t>
      </w:r>
      <w:r w:rsidR="00934EFA" w:rsidRPr="005345FB">
        <w:rPr>
          <w:rFonts w:ascii="Times New Roman" w:hAnsi="Times New Roman" w:cs="Times New Roman"/>
          <w:color w:val="auto"/>
          <w:sz w:val="40"/>
          <w:szCs w:val="40"/>
          <w:lang w:val="en-US" w:eastAsia="en-US"/>
        </w:rPr>
        <w:t>: Norway</w:t>
      </w:r>
    </w:p>
    <w:p w14:paraId="2E4135C5" w14:textId="77777777" w:rsidR="00934EFA" w:rsidRDefault="00934EFA" w:rsidP="004D087F">
      <w:pPr>
        <w:pStyle w:val="Overskrift1"/>
        <w:spacing w:before="0" w:line="276" w:lineRule="auto"/>
        <w:rPr>
          <w:rFonts w:ascii="Times New Roman" w:hAnsi="Times New Roman" w:cs="Times New Roman"/>
          <w:color w:val="auto"/>
          <w:lang w:val="en-US" w:eastAsia="en-US"/>
        </w:rPr>
      </w:pPr>
    </w:p>
    <w:p w14:paraId="16B88D60" w14:textId="77777777" w:rsidR="00934EFA" w:rsidRPr="005345FB" w:rsidRDefault="00934EFA" w:rsidP="004D087F">
      <w:pPr>
        <w:pStyle w:val="Overskrift1"/>
        <w:spacing w:before="0" w:line="276" w:lineRule="auto"/>
        <w:rPr>
          <w:rFonts w:ascii="Times New Roman" w:hAnsi="Times New Roman" w:cs="Times New Roman"/>
          <w:color w:val="auto"/>
          <w:lang w:val="en-US" w:eastAsia="en-US"/>
        </w:rPr>
      </w:pPr>
      <w:r w:rsidRPr="005345FB">
        <w:rPr>
          <w:rFonts w:ascii="Times New Roman" w:hAnsi="Times New Roman" w:cs="Times New Roman"/>
          <w:color w:val="auto"/>
          <w:lang w:val="en-US" w:eastAsia="en-US"/>
        </w:rPr>
        <w:t>Introduction</w:t>
      </w:r>
    </w:p>
    <w:p w14:paraId="2D4B9612" w14:textId="409F3DC9" w:rsidR="00B61398" w:rsidRPr="00576D15" w:rsidRDefault="00934EFA" w:rsidP="004D087F">
      <w:pPr>
        <w:spacing w:line="276" w:lineRule="auto"/>
        <w:rPr>
          <w:lang w:val="en-US" w:eastAsia="en-US"/>
        </w:rPr>
      </w:pPr>
      <w:r w:rsidRPr="00576D15">
        <w:rPr>
          <w:lang w:val="en-US" w:eastAsia="en-US"/>
        </w:rPr>
        <w:t xml:space="preserve">The current report </w:t>
      </w:r>
      <w:r w:rsidR="00EB0936">
        <w:rPr>
          <w:lang w:val="en-US" w:eastAsia="en-US"/>
        </w:rPr>
        <w:t xml:space="preserve">briefly </w:t>
      </w:r>
      <w:r w:rsidRPr="00576D15">
        <w:rPr>
          <w:lang w:val="en-US" w:eastAsia="en-US"/>
        </w:rPr>
        <w:t xml:space="preserve">outlines the state of the food distribution sector in Norway. </w:t>
      </w:r>
      <w:r>
        <w:rPr>
          <w:lang w:val="en-US" w:eastAsia="en-US"/>
        </w:rPr>
        <w:t xml:space="preserve">At the supply side, the report highlights the key characteristics of the supply chain; namely </w:t>
      </w:r>
      <w:r w:rsidRPr="00576D15">
        <w:rPr>
          <w:lang w:val="en-US" w:eastAsia="en-US"/>
        </w:rPr>
        <w:t xml:space="preserve">strong vertical integration, </w:t>
      </w:r>
      <w:r>
        <w:rPr>
          <w:lang w:val="en-US" w:eastAsia="en-US"/>
        </w:rPr>
        <w:t xml:space="preserve">a high supplier </w:t>
      </w:r>
      <w:r w:rsidRPr="00576D15">
        <w:rPr>
          <w:lang w:val="en-US" w:eastAsia="en-US"/>
        </w:rPr>
        <w:t>concentrat</w:t>
      </w:r>
      <w:r>
        <w:rPr>
          <w:lang w:val="en-US" w:eastAsia="en-US"/>
        </w:rPr>
        <w:t>ion</w:t>
      </w:r>
      <w:r w:rsidRPr="00576D15">
        <w:rPr>
          <w:lang w:val="en-US" w:eastAsia="en-US"/>
        </w:rPr>
        <w:t xml:space="preserve">, high store concentration </w:t>
      </w:r>
      <w:r>
        <w:rPr>
          <w:lang w:val="en-US" w:eastAsia="en-US"/>
        </w:rPr>
        <w:t xml:space="preserve">and </w:t>
      </w:r>
      <w:r w:rsidRPr="00576D15">
        <w:rPr>
          <w:lang w:val="en-US" w:eastAsia="en-US"/>
        </w:rPr>
        <w:t xml:space="preserve">low product variety. </w:t>
      </w:r>
      <w:r>
        <w:rPr>
          <w:lang w:val="en-US" w:eastAsia="en-US"/>
        </w:rPr>
        <w:t xml:space="preserve">At the demand side, the report focus on consumers’ shopping patterns, food consumption, and access to stores. Lastly, the report </w:t>
      </w:r>
      <w:r w:rsidR="0030480B">
        <w:rPr>
          <w:lang w:val="en-US" w:eastAsia="en-US"/>
        </w:rPr>
        <w:t>presents recent developments attempting to establish alternative food networks through digital means</w:t>
      </w:r>
      <w:r w:rsidR="00FB3A12">
        <w:rPr>
          <w:lang w:val="en-US" w:eastAsia="en-US"/>
        </w:rPr>
        <w:t>.</w:t>
      </w:r>
    </w:p>
    <w:p w14:paraId="46F2364D" w14:textId="77777777" w:rsidR="00934EFA" w:rsidRDefault="00934EFA" w:rsidP="004D087F">
      <w:pPr>
        <w:pStyle w:val="Overskrift1"/>
        <w:spacing w:before="0" w:line="276" w:lineRule="auto"/>
        <w:rPr>
          <w:rFonts w:ascii="Times New Roman" w:hAnsi="Times New Roman" w:cs="Times New Roman"/>
          <w:color w:val="auto"/>
          <w:lang w:val="en-US" w:eastAsia="en-US"/>
        </w:rPr>
      </w:pPr>
    </w:p>
    <w:p w14:paraId="551A0A21" w14:textId="77777777" w:rsidR="00934EFA" w:rsidRPr="002E7465" w:rsidRDefault="00934EFA" w:rsidP="004D087F">
      <w:pPr>
        <w:pStyle w:val="Overskrift1"/>
        <w:spacing w:before="0" w:line="276" w:lineRule="auto"/>
        <w:rPr>
          <w:rFonts w:ascii="Times New Roman" w:hAnsi="Times New Roman" w:cs="Times New Roman"/>
          <w:color w:val="auto"/>
          <w:lang w:val="en-US" w:eastAsia="en-US"/>
        </w:rPr>
      </w:pPr>
      <w:r w:rsidRPr="002E7465">
        <w:rPr>
          <w:rFonts w:ascii="Times New Roman" w:hAnsi="Times New Roman" w:cs="Times New Roman"/>
          <w:color w:val="auto"/>
          <w:lang w:val="en-US" w:eastAsia="en-US"/>
        </w:rPr>
        <w:t xml:space="preserve">The food distribution sector: The supply side </w:t>
      </w:r>
    </w:p>
    <w:p w14:paraId="63036BE1" w14:textId="60FC2688" w:rsidR="00934EFA" w:rsidRDefault="00934EFA" w:rsidP="004D087F">
      <w:pPr>
        <w:spacing w:line="276" w:lineRule="auto"/>
        <w:rPr>
          <w:lang w:val="en-US" w:eastAsia="en-US"/>
        </w:rPr>
      </w:pPr>
      <w:r w:rsidRPr="00CF583C">
        <w:rPr>
          <w:lang w:val="en-US" w:eastAsia="en-US"/>
        </w:rPr>
        <w:t xml:space="preserve">By being a non EU-member, Norway and its food distribution industry must adhere to strict regulations affecting import and custom rates. </w:t>
      </w:r>
      <w:r>
        <w:rPr>
          <w:lang w:val="en-US" w:eastAsia="en-US"/>
        </w:rPr>
        <w:t>Most notably, m</w:t>
      </w:r>
      <w:r w:rsidRPr="00CF583C">
        <w:rPr>
          <w:lang w:val="en-US" w:eastAsia="en-US"/>
        </w:rPr>
        <w:t>any basic agricultural products</w:t>
      </w:r>
      <w:r>
        <w:rPr>
          <w:lang w:val="en-US" w:eastAsia="en-US"/>
        </w:rPr>
        <w:t xml:space="preserve"> </w:t>
      </w:r>
      <w:r w:rsidRPr="00CF583C">
        <w:rPr>
          <w:lang w:val="en-US" w:eastAsia="en-US"/>
        </w:rPr>
        <w:t>are protected</w:t>
      </w:r>
      <w:r>
        <w:rPr>
          <w:lang w:val="en-US" w:eastAsia="en-US"/>
        </w:rPr>
        <w:t xml:space="preserve"> by border control</w:t>
      </w:r>
      <w:r w:rsidRPr="00CF583C">
        <w:rPr>
          <w:lang w:val="en-US" w:eastAsia="en-US"/>
        </w:rPr>
        <w:t>, such as milk, egg, meat and vegetables</w:t>
      </w:r>
      <w:r w:rsidR="006F25E8">
        <w:rPr>
          <w:lang w:val="en-US" w:eastAsia="en-US"/>
        </w:rPr>
        <w:t xml:space="preserve"> (</w:t>
      </w:r>
      <w:r w:rsidR="00BF7F28">
        <w:rPr>
          <w:lang w:val="en-US" w:eastAsia="en-US"/>
        </w:rPr>
        <w:t>Norwegian Agriculture Agency</w:t>
      </w:r>
      <w:r w:rsidR="006F25E8">
        <w:rPr>
          <w:lang w:val="en-US" w:eastAsia="en-US"/>
        </w:rPr>
        <w:t>, 2018</w:t>
      </w:r>
      <w:r w:rsidR="00D4366F">
        <w:rPr>
          <w:lang w:val="en-US" w:eastAsia="en-US"/>
        </w:rPr>
        <w:t>)</w:t>
      </w:r>
      <w:r w:rsidRPr="00CF583C">
        <w:rPr>
          <w:lang w:val="en-US" w:eastAsia="en-US"/>
        </w:rPr>
        <w:t>.</w:t>
      </w:r>
      <w:r w:rsidRPr="00576D15">
        <w:rPr>
          <w:lang w:val="en-US" w:eastAsia="en-US"/>
        </w:rPr>
        <w:t xml:space="preserve"> </w:t>
      </w:r>
    </w:p>
    <w:p w14:paraId="154E730E" w14:textId="77777777" w:rsidR="00934EFA" w:rsidRDefault="00934EFA" w:rsidP="004D087F">
      <w:pPr>
        <w:spacing w:line="276" w:lineRule="auto"/>
        <w:rPr>
          <w:lang w:val="en-US" w:eastAsia="en-US"/>
        </w:rPr>
      </w:pPr>
    </w:p>
    <w:p w14:paraId="7DA08B2B" w14:textId="64D3213E" w:rsidR="00934EFA" w:rsidRDefault="00934EFA" w:rsidP="004D087F">
      <w:pPr>
        <w:spacing w:line="276" w:lineRule="auto"/>
        <w:rPr>
          <w:lang w:val="en-US" w:eastAsia="en-US"/>
        </w:rPr>
      </w:pPr>
      <w:r>
        <w:rPr>
          <w:lang w:val="en-US" w:eastAsia="en-US"/>
        </w:rPr>
        <w:t>S</w:t>
      </w:r>
      <w:r w:rsidRPr="00576D15">
        <w:rPr>
          <w:lang w:val="en-US" w:eastAsia="en-US"/>
        </w:rPr>
        <w:t>ince the 1970</w:t>
      </w:r>
      <w:r>
        <w:rPr>
          <w:lang w:val="en-US" w:eastAsia="en-US"/>
        </w:rPr>
        <w:t>s, t</w:t>
      </w:r>
      <w:r w:rsidRPr="00576D15">
        <w:rPr>
          <w:lang w:val="en-US" w:eastAsia="en-US"/>
        </w:rPr>
        <w:t xml:space="preserve">he food </w:t>
      </w:r>
      <w:r>
        <w:rPr>
          <w:lang w:val="en-US" w:eastAsia="en-US"/>
        </w:rPr>
        <w:t xml:space="preserve">value </w:t>
      </w:r>
      <w:r w:rsidRPr="00576D15">
        <w:rPr>
          <w:lang w:val="en-US" w:eastAsia="en-US"/>
        </w:rPr>
        <w:t xml:space="preserve">chain </w:t>
      </w:r>
      <w:r>
        <w:rPr>
          <w:lang w:val="en-US" w:eastAsia="en-US"/>
        </w:rPr>
        <w:t>has</w:t>
      </w:r>
      <w:r w:rsidRPr="00576D15">
        <w:rPr>
          <w:lang w:val="en-US" w:eastAsia="en-US"/>
        </w:rPr>
        <w:t xml:space="preserve"> gradually developed from wholesale</w:t>
      </w:r>
      <w:r>
        <w:rPr>
          <w:lang w:val="en-US" w:eastAsia="en-US"/>
        </w:rPr>
        <w:t xml:space="preserve"> </w:t>
      </w:r>
      <w:r w:rsidRPr="00576D15">
        <w:rPr>
          <w:lang w:val="en-US" w:eastAsia="en-US"/>
        </w:rPr>
        <w:t>dominati</w:t>
      </w:r>
      <w:r>
        <w:rPr>
          <w:lang w:val="en-US" w:eastAsia="en-US"/>
        </w:rPr>
        <w:t>on</w:t>
      </w:r>
      <w:r w:rsidRPr="00576D15">
        <w:rPr>
          <w:lang w:val="en-US" w:eastAsia="en-US"/>
        </w:rPr>
        <w:t xml:space="preserve"> with</w:t>
      </w:r>
      <w:r>
        <w:rPr>
          <w:lang w:val="en-US" w:eastAsia="en-US"/>
        </w:rPr>
        <w:t xml:space="preserve"> numerous independent suppliers and retailers</w:t>
      </w:r>
      <w:r w:rsidRPr="00154F02">
        <w:rPr>
          <w:lang w:val="en-US" w:eastAsia="en-US"/>
        </w:rPr>
        <w:t xml:space="preserve"> towards</w:t>
      </w:r>
      <w:r w:rsidRPr="00576D15">
        <w:rPr>
          <w:lang w:val="en-US" w:eastAsia="en-US"/>
        </w:rPr>
        <w:t xml:space="preserve"> vertical</w:t>
      </w:r>
      <w:r w:rsidR="00445687">
        <w:rPr>
          <w:lang w:val="en-US" w:eastAsia="en-US"/>
        </w:rPr>
        <w:t>ly</w:t>
      </w:r>
      <w:r w:rsidRPr="00576D15">
        <w:rPr>
          <w:lang w:val="en-US" w:eastAsia="en-US"/>
        </w:rPr>
        <w:t xml:space="preserve"> integrate</w:t>
      </w:r>
      <w:r>
        <w:rPr>
          <w:lang w:val="en-US" w:eastAsia="en-US"/>
        </w:rPr>
        <w:t>d value chains</w:t>
      </w:r>
      <w:r w:rsidRPr="00576D15">
        <w:rPr>
          <w:lang w:val="en-US" w:eastAsia="en-US"/>
        </w:rPr>
        <w:t xml:space="preserve"> </w:t>
      </w:r>
      <w:r>
        <w:rPr>
          <w:lang w:val="en-US" w:eastAsia="en-US"/>
        </w:rPr>
        <w:t>dominated by three retail groups</w:t>
      </w:r>
      <w:r w:rsidRPr="00576D15">
        <w:rPr>
          <w:lang w:val="en-US" w:eastAsia="en-US"/>
        </w:rPr>
        <w:t xml:space="preserve"> </w:t>
      </w:r>
      <w:r w:rsidRPr="00576D15">
        <w:rPr>
          <w:noProof/>
          <w:lang w:val="en-US" w:eastAsia="en-US"/>
        </w:rPr>
        <w:t>(NOU, 2011)</w:t>
      </w:r>
      <w:r w:rsidRPr="00576D15">
        <w:rPr>
          <w:lang w:val="en-US" w:eastAsia="en-US"/>
        </w:rPr>
        <w:t xml:space="preserve">. The </w:t>
      </w:r>
      <w:r>
        <w:rPr>
          <w:lang w:val="en-US" w:eastAsia="en-US"/>
        </w:rPr>
        <w:t>vertical integration</w:t>
      </w:r>
      <w:r w:rsidRPr="00576D15">
        <w:rPr>
          <w:lang w:val="en-US" w:eastAsia="en-US"/>
        </w:rPr>
        <w:t xml:space="preserve"> has increased significantly throughout recent years </w:t>
      </w:r>
      <w:r w:rsidRPr="00576D15">
        <w:rPr>
          <w:noProof/>
          <w:lang w:val="en-US" w:eastAsia="en-US"/>
        </w:rPr>
        <w:t>(Oslo Economics, 2017)</w:t>
      </w:r>
      <w:r w:rsidRPr="00576D15">
        <w:rPr>
          <w:lang w:val="en-US" w:eastAsia="en-US"/>
        </w:rPr>
        <w:t xml:space="preserve">. </w:t>
      </w:r>
      <w:r>
        <w:rPr>
          <w:lang w:val="en-US" w:eastAsia="en-US"/>
        </w:rPr>
        <w:t>The</w:t>
      </w:r>
      <w:r w:rsidRPr="00657FE0">
        <w:rPr>
          <w:lang w:val="en-US" w:eastAsia="en-US"/>
        </w:rPr>
        <w:t xml:space="preserve"> increase in</w:t>
      </w:r>
      <w:r>
        <w:rPr>
          <w:lang w:val="en-US" w:eastAsia="en-US"/>
        </w:rPr>
        <w:t xml:space="preserve"> </w:t>
      </w:r>
      <w:r w:rsidRPr="00657FE0">
        <w:rPr>
          <w:lang w:val="en-US" w:eastAsia="en-US"/>
        </w:rPr>
        <w:t xml:space="preserve">concentration </w:t>
      </w:r>
      <w:r>
        <w:rPr>
          <w:lang w:val="en-US" w:eastAsia="en-US"/>
        </w:rPr>
        <w:t xml:space="preserve">and vertical integration </w:t>
      </w:r>
      <w:r w:rsidRPr="00657FE0">
        <w:rPr>
          <w:lang w:val="en-US" w:eastAsia="en-US"/>
        </w:rPr>
        <w:t>make</w:t>
      </w:r>
      <w:r>
        <w:rPr>
          <w:lang w:val="en-US" w:eastAsia="en-US"/>
        </w:rPr>
        <w:t>s</w:t>
      </w:r>
      <w:r w:rsidRPr="00657FE0">
        <w:rPr>
          <w:lang w:val="en-US" w:eastAsia="en-US"/>
        </w:rPr>
        <w:t xml:space="preserve"> it difficult for </w:t>
      </w:r>
      <w:r>
        <w:rPr>
          <w:lang w:val="en-US" w:eastAsia="en-US"/>
        </w:rPr>
        <w:t>newcomers</w:t>
      </w:r>
      <w:r w:rsidRPr="00657FE0">
        <w:rPr>
          <w:lang w:val="en-US" w:eastAsia="en-US"/>
        </w:rPr>
        <w:t xml:space="preserve"> to </w:t>
      </w:r>
      <w:r>
        <w:rPr>
          <w:lang w:val="en-US" w:eastAsia="en-US"/>
        </w:rPr>
        <w:t>penetrate many parts of the food market</w:t>
      </w:r>
      <w:r w:rsidRPr="00576D15">
        <w:rPr>
          <w:lang w:val="en-US" w:eastAsia="en-US"/>
        </w:rPr>
        <w:t xml:space="preserve">. </w:t>
      </w:r>
      <w:r w:rsidR="00B21CEC">
        <w:rPr>
          <w:lang w:val="en-US" w:eastAsia="en-US"/>
        </w:rPr>
        <w:t xml:space="preserve">Recent developments have seen an increase in efforts to establish alternative food markets. </w:t>
      </w:r>
      <w:r w:rsidR="00517C23">
        <w:rPr>
          <w:lang w:val="en-US" w:eastAsia="en-US"/>
        </w:rPr>
        <w:t xml:space="preserve">A notable example is </w:t>
      </w:r>
      <w:r w:rsidR="00517C23" w:rsidRPr="00517C23">
        <w:rPr>
          <w:i/>
          <w:lang w:val="en-US" w:eastAsia="en-US"/>
        </w:rPr>
        <w:t>Bondens Marked</w:t>
      </w:r>
      <w:r w:rsidR="003608EB">
        <w:rPr>
          <w:lang w:val="en-US" w:eastAsia="en-US"/>
        </w:rPr>
        <w:t xml:space="preserve">, </w:t>
      </w:r>
      <w:r w:rsidR="00517C23">
        <w:rPr>
          <w:lang w:val="en-US" w:eastAsia="en-US"/>
        </w:rPr>
        <w:t>or the Norwegian Farmer’s Market</w:t>
      </w:r>
      <w:r w:rsidR="003608EB">
        <w:rPr>
          <w:lang w:val="en-US" w:eastAsia="en-US"/>
        </w:rPr>
        <w:t>, which is</w:t>
      </w:r>
      <w:r w:rsidR="00517C23">
        <w:rPr>
          <w:lang w:val="en-US" w:eastAsia="en-US"/>
        </w:rPr>
        <w:t xml:space="preserve"> a </w:t>
      </w:r>
      <w:r w:rsidR="003608EB">
        <w:rPr>
          <w:lang w:val="en-US" w:eastAsia="en-US"/>
        </w:rPr>
        <w:t>small-scale</w:t>
      </w:r>
      <w:r w:rsidR="00517C23">
        <w:rPr>
          <w:lang w:val="en-US" w:eastAsia="en-US"/>
        </w:rPr>
        <w:t xml:space="preserve"> alternative food market with an annual turnover of 66.</w:t>
      </w:r>
      <w:r w:rsidR="00517C23" w:rsidRPr="007E769F">
        <w:rPr>
          <w:lang w:val="en-US" w:eastAsia="en-US"/>
        </w:rPr>
        <w:t xml:space="preserve">2 NOK in 2016. </w:t>
      </w:r>
      <w:r w:rsidR="00DD54A1" w:rsidRPr="007E769F">
        <w:rPr>
          <w:lang w:val="en-US" w:eastAsia="en-US"/>
        </w:rPr>
        <w:t>Other</w:t>
      </w:r>
      <w:r w:rsidR="00DD54A1">
        <w:rPr>
          <w:lang w:val="en-US" w:eastAsia="en-US"/>
        </w:rPr>
        <w:t xml:space="preserve"> efforts towards establishing alternative food markets are f</w:t>
      </w:r>
      <w:r w:rsidR="00B21CEC">
        <w:rPr>
          <w:lang w:val="en-US" w:eastAsia="en-US"/>
        </w:rPr>
        <w:t>ood delivery through digital platforms</w:t>
      </w:r>
      <w:r w:rsidR="003608EB">
        <w:rPr>
          <w:lang w:val="en-US" w:eastAsia="en-US"/>
        </w:rPr>
        <w:t xml:space="preserve"> – often stemming from local and organic production –</w:t>
      </w:r>
      <w:r w:rsidR="00B21CEC">
        <w:rPr>
          <w:lang w:val="en-US" w:eastAsia="en-US"/>
        </w:rPr>
        <w:t xml:space="preserve"> such as box schemes and online grocery stores</w:t>
      </w:r>
      <w:r w:rsidR="00445687">
        <w:rPr>
          <w:lang w:val="en-US" w:eastAsia="en-US"/>
        </w:rPr>
        <w:t xml:space="preserve">. Such initiatives </w:t>
      </w:r>
      <w:r w:rsidR="002206B9">
        <w:rPr>
          <w:lang w:val="en-US" w:eastAsia="en-US"/>
        </w:rPr>
        <w:t xml:space="preserve">have witnessed considerable attention from both consumers and investors. </w:t>
      </w:r>
      <w:r w:rsidR="0079210B">
        <w:rPr>
          <w:lang w:val="en-US" w:eastAsia="en-US"/>
        </w:rPr>
        <w:t>Despite this growing interest, the digitalization of the Norwegian food industry is coming along at a very slow speed.</w:t>
      </w:r>
      <w:r w:rsidR="00C30C46">
        <w:rPr>
          <w:lang w:val="en-US" w:eastAsia="en-US"/>
        </w:rPr>
        <w:t xml:space="preserve"> Innovation efforts are relatively high, but establishment seems to be difficult as</w:t>
      </w:r>
      <w:r w:rsidR="000E2B55">
        <w:rPr>
          <w:lang w:val="en-US" w:eastAsia="en-US"/>
        </w:rPr>
        <w:t xml:space="preserve"> the market stability is poor and</w:t>
      </w:r>
      <w:r w:rsidR="00C30C46">
        <w:rPr>
          <w:lang w:val="en-US" w:eastAsia="en-US"/>
        </w:rPr>
        <w:t xml:space="preserve"> many initiatives go bankrupt or are acquired by other</w:t>
      </w:r>
      <w:r w:rsidR="000B36A9">
        <w:rPr>
          <w:lang w:val="en-US" w:eastAsia="en-US"/>
        </w:rPr>
        <w:t>s</w:t>
      </w:r>
      <w:r w:rsidR="00C30C46">
        <w:rPr>
          <w:lang w:val="en-US" w:eastAsia="en-US"/>
        </w:rPr>
        <w:t xml:space="preserve">. </w:t>
      </w:r>
      <w:r w:rsidR="00BB402B">
        <w:rPr>
          <w:lang w:val="en-US" w:eastAsia="en-US"/>
        </w:rPr>
        <w:t>Thus, newcomer</w:t>
      </w:r>
      <w:r w:rsidR="00CF4CBA">
        <w:rPr>
          <w:lang w:val="en-US" w:eastAsia="en-US"/>
        </w:rPr>
        <w:t>s</w:t>
      </w:r>
      <w:r w:rsidR="00BB402B">
        <w:rPr>
          <w:lang w:val="en-US" w:eastAsia="en-US"/>
        </w:rPr>
        <w:t xml:space="preserve"> such as efforts to create alternative food markets</w:t>
      </w:r>
      <w:r w:rsidR="00CF4CBA">
        <w:rPr>
          <w:lang w:val="en-US" w:eastAsia="en-US"/>
        </w:rPr>
        <w:t xml:space="preserve"> may</w:t>
      </w:r>
      <w:r w:rsidR="00BB402B">
        <w:rPr>
          <w:lang w:val="en-US" w:eastAsia="en-US"/>
        </w:rPr>
        <w:t xml:space="preserve"> face</w:t>
      </w:r>
      <w:r w:rsidR="00704AE9">
        <w:rPr>
          <w:lang w:val="en-US" w:eastAsia="en-US"/>
        </w:rPr>
        <w:t xml:space="preserve"> </w:t>
      </w:r>
      <w:r>
        <w:rPr>
          <w:lang w:val="en-US" w:eastAsia="en-US"/>
        </w:rPr>
        <w:t xml:space="preserve">serious </w:t>
      </w:r>
      <w:r w:rsidRPr="00576D15">
        <w:rPr>
          <w:lang w:val="en-US" w:eastAsia="en-US"/>
        </w:rPr>
        <w:t>establishment challenges</w:t>
      </w:r>
      <w:r w:rsidR="00704AE9">
        <w:rPr>
          <w:lang w:val="en-US" w:eastAsia="en-US"/>
        </w:rPr>
        <w:t xml:space="preserve"> </w:t>
      </w:r>
      <w:r w:rsidRPr="00576D15">
        <w:rPr>
          <w:noProof/>
          <w:lang w:val="en-US" w:eastAsia="en-US"/>
        </w:rPr>
        <w:t>(Oslo Economics, 2017)</w:t>
      </w:r>
      <w:r w:rsidRPr="00576D15">
        <w:rPr>
          <w:lang w:val="en-US" w:eastAsia="en-US"/>
        </w:rPr>
        <w:t xml:space="preserve">. </w:t>
      </w:r>
    </w:p>
    <w:p w14:paraId="1307DB79" w14:textId="77777777" w:rsidR="00934EFA" w:rsidRDefault="00934EFA" w:rsidP="004D087F">
      <w:pPr>
        <w:spacing w:line="276" w:lineRule="auto"/>
        <w:rPr>
          <w:lang w:val="en-US" w:eastAsia="en-US"/>
        </w:rPr>
      </w:pPr>
    </w:p>
    <w:p w14:paraId="2F7B6555" w14:textId="77777777" w:rsidR="00934EFA" w:rsidRDefault="00934EFA" w:rsidP="009E4AB0">
      <w:pPr>
        <w:spacing w:line="276" w:lineRule="auto"/>
        <w:rPr>
          <w:lang w:val="en-US" w:eastAsia="en-US"/>
        </w:rPr>
      </w:pPr>
      <w:r>
        <w:rPr>
          <w:lang w:val="en-US" w:eastAsia="en-US"/>
        </w:rPr>
        <w:t xml:space="preserve">The value chain of the Norwegian food sector (see figure 1) consists of three main levels; production and processing, wholesale, and retail (stores). Three main actors closely govern the wholesale and retail levels: </w:t>
      </w:r>
      <w:r>
        <w:rPr>
          <w:i/>
          <w:lang w:val="en-US" w:eastAsia="en-US"/>
        </w:rPr>
        <w:t>Coop, NorgesG</w:t>
      </w:r>
      <w:r w:rsidRPr="00F14AAB">
        <w:rPr>
          <w:i/>
          <w:lang w:val="en-US" w:eastAsia="en-US"/>
        </w:rPr>
        <w:t>ruppen</w:t>
      </w:r>
      <w:r>
        <w:rPr>
          <w:lang w:val="en-US" w:eastAsia="en-US"/>
        </w:rPr>
        <w:t xml:space="preserve">, and </w:t>
      </w:r>
      <w:r w:rsidRPr="00F14AAB">
        <w:rPr>
          <w:i/>
          <w:lang w:val="en-US" w:eastAsia="en-US"/>
        </w:rPr>
        <w:t>Rema</w:t>
      </w:r>
      <w:r>
        <w:rPr>
          <w:lang w:val="en-US" w:eastAsia="en-US"/>
        </w:rPr>
        <w:t xml:space="preserve">. Two of these (i.e., </w:t>
      </w:r>
      <w:r w:rsidRPr="00AF1564">
        <w:rPr>
          <w:i/>
          <w:lang w:val="en-US" w:eastAsia="en-US"/>
        </w:rPr>
        <w:t>NorgesGruppen</w:t>
      </w:r>
      <w:r>
        <w:rPr>
          <w:lang w:val="en-US" w:eastAsia="en-US"/>
        </w:rPr>
        <w:t xml:space="preserve"> and </w:t>
      </w:r>
      <w:r w:rsidRPr="00AF1564">
        <w:rPr>
          <w:i/>
          <w:lang w:val="en-US" w:eastAsia="en-US"/>
        </w:rPr>
        <w:t>Coop</w:t>
      </w:r>
      <w:r>
        <w:rPr>
          <w:lang w:val="en-US" w:eastAsia="en-US"/>
        </w:rPr>
        <w:t xml:space="preserve">) are large retail groups with multiple retail chains. </w:t>
      </w:r>
      <w:r w:rsidRPr="00AF1564">
        <w:rPr>
          <w:i/>
          <w:lang w:val="en-US" w:eastAsia="en-US"/>
        </w:rPr>
        <w:t>NorgesGruppen</w:t>
      </w:r>
      <w:r>
        <w:rPr>
          <w:lang w:val="en-US" w:eastAsia="en-US"/>
        </w:rPr>
        <w:t xml:space="preserve">, for instance, as a retail group distributes food through the retail chain </w:t>
      </w:r>
      <w:r w:rsidRPr="009315CE">
        <w:rPr>
          <w:i/>
          <w:lang w:val="en-US" w:eastAsia="en-US"/>
        </w:rPr>
        <w:t>Kiwi</w:t>
      </w:r>
      <w:r>
        <w:rPr>
          <w:lang w:val="en-US" w:eastAsia="en-US"/>
        </w:rPr>
        <w:t xml:space="preserve">. </w:t>
      </w:r>
      <w:r w:rsidRPr="00AF1564">
        <w:rPr>
          <w:i/>
          <w:lang w:val="en-US" w:eastAsia="en-US"/>
        </w:rPr>
        <w:t>Rema</w:t>
      </w:r>
      <w:r>
        <w:rPr>
          <w:lang w:val="en-US" w:eastAsia="en-US"/>
        </w:rPr>
        <w:t xml:space="preserve"> are operating at both levels. These three main actors are also becoming increasingly involved at the production and processing stage. </w:t>
      </w:r>
    </w:p>
    <w:p w14:paraId="2BEB4672" w14:textId="77777777" w:rsidR="00934EFA" w:rsidRDefault="00934EFA" w:rsidP="004D087F">
      <w:pPr>
        <w:spacing w:line="276" w:lineRule="auto"/>
        <w:rPr>
          <w:lang w:val="en-US" w:eastAsia="en-US"/>
        </w:rPr>
      </w:pPr>
    </w:p>
    <w:p w14:paraId="7BFA51B6" w14:textId="77777777" w:rsidR="00934EFA" w:rsidRDefault="00934EFA" w:rsidP="009D68FC">
      <w:pPr>
        <w:rPr>
          <w:lang w:val="en-US" w:eastAsia="en-US"/>
        </w:rPr>
      </w:pPr>
    </w:p>
    <w:p w14:paraId="4D1DAC33" w14:textId="77777777" w:rsidR="00934EFA" w:rsidRDefault="00934EFA" w:rsidP="009D68FC">
      <w:pPr>
        <w:rPr>
          <w:sz w:val="22"/>
          <w:szCs w:val="22"/>
          <w:lang w:val="en-US" w:eastAsia="en-US"/>
        </w:rPr>
      </w:pPr>
      <w:r>
        <w:rPr>
          <w:noProof/>
          <w:sz w:val="22"/>
          <w:szCs w:val="22"/>
          <w:lang w:val="en-US" w:eastAsia="en-US"/>
        </w:rPr>
        <w:drawing>
          <wp:inline distT="0" distB="0" distL="0" distR="0" wp14:anchorId="6F14F60B" wp14:editId="12300912">
            <wp:extent cx="5486400" cy="196215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6640EC0" w14:textId="77777777" w:rsidR="00934EFA" w:rsidRDefault="00934EFA" w:rsidP="009D68FC">
      <w:pPr>
        <w:rPr>
          <w:sz w:val="22"/>
          <w:szCs w:val="22"/>
          <w:lang w:val="en-US" w:eastAsia="en-US"/>
        </w:rPr>
      </w:pPr>
    </w:p>
    <w:p w14:paraId="479696A5" w14:textId="77777777" w:rsidR="00934EFA" w:rsidRDefault="00934EFA" w:rsidP="009D68FC">
      <w:pPr>
        <w:rPr>
          <w:sz w:val="22"/>
          <w:szCs w:val="22"/>
          <w:lang w:val="en-US" w:eastAsia="en-US"/>
        </w:rPr>
      </w:pPr>
      <w:r w:rsidRPr="0088004F">
        <w:rPr>
          <w:sz w:val="22"/>
          <w:szCs w:val="22"/>
          <w:lang w:val="en-US" w:eastAsia="en-US"/>
        </w:rPr>
        <w:t>Figure 1. The value chain of the Norwegian food sector</w:t>
      </w:r>
    </w:p>
    <w:p w14:paraId="771E08F0" w14:textId="77777777" w:rsidR="00934EFA" w:rsidRDefault="00934EFA" w:rsidP="004D087F">
      <w:pPr>
        <w:pStyle w:val="Overskrift2"/>
        <w:spacing w:before="0" w:line="276" w:lineRule="auto"/>
        <w:rPr>
          <w:rFonts w:ascii="Times New Roman" w:hAnsi="Times New Roman" w:cs="Times New Roman"/>
          <w:b/>
          <w:color w:val="auto"/>
          <w:sz w:val="28"/>
          <w:szCs w:val="28"/>
          <w:lang w:val="en-US" w:eastAsia="en-US"/>
        </w:rPr>
      </w:pPr>
    </w:p>
    <w:p w14:paraId="5649C696" w14:textId="77777777" w:rsidR="00934EFA" w:rsidRPr="004D087F" w:rsidRDefault="00934EFA" w:rsidP="004D087F">
      <w:pPr>
        <w:pStyle w:val="Overskrift2"/>
        <w:spacing w:before="0" w:line="276" w:lineRule="auto"/>
        <w:rPr>
          <w:rFonts w:ascii="Times New Roman" w:hAnsi="Times New Roman" w:cs="Times New Roman"/>
          <w:b/>
          <w:color w:val="auto"/>
          <w:sz w:val="28"/>
          <w:szCs w:val="28"/>
          <w:lang w:val="en-US" w:eastAsia="en-US"/>
        </w:rPr>
      </w:pPr>
      <w:r w:rsidRPr="004D087F">
        <w:rPr>
          <w:rFonts w:ascii="Times New Roman" w:hAnsi="Times New Roman" w:cs="Times New Roman"/>
          <w:b/>
          <w:color w:val="auto"/>
          <w:sz w:val="28"/>
          <w:szCs w:val="28"/>
          <w:lang w:val="en-US" w:eastAsia="en-US"/>
        </w:rPr>
        <w:t>Horizontal integration</w:t>
      </w:r>
    </w:p>
    <w:p w14:paraId="67545BCE" w14:textId="77777777" w:rsidR="00934EFA" w:rsidRDefault="00934EFA" w:rsidP="004D087F">
      <w:pPr>
        <w:spacing w:line="276" w:lineRule="auto"/>
        <w:rPr>
          <w:lang w:val="en-US" w:eastAsia="en-US"/>
        </w:rPr>
      </w:pPr>
      <w:r w:rsidRPr="00576D15">
        <w:rPr>
          <w:lang w:val="en-US" w:eastAsia="en-US"/>
        </w:rPr>
        <w:t>The food distribution industry in Norway is characterized by a strong chain concentration. Particularly, branch chaining and franchising-systems</w:t>
      </w:r>
      <w:r>
        <w:rPr>
          <w:lang w:val="en-US" w:eastAsia="en-US"/>
        </w:rPr>
        <w:t xml:space="preserve"> both have a history</w:t>
      </w:r>
      <w:r w:rsidRPr="00576D15">
        <w:rPr>
          <w:lang w:val="en-US" w:eastAsia="en-US"/>
        </w:rPr>
        <w:t xml:space="preserve"> within retail management </w:t>
      </w:r>
      <w:r w:rsidRPr="00576D15">
        <w:rPr>
          <w:noProof/>
          <w:lang w:val="en-US" w:eastAsia="en-US"/>
        </w:rPr>
        <w:t>(Jacobsen &amp; Dulsrud, 1994)</w:t>
      </w:r>
      <w:r w:rsidRPr="00576D15">
        <w:rPr>
          <w:lang w:val="en-US" w:eastAsia="en-US"/>
        </w:rPr>
        <w:t xml:space="preserve">. </w:t>
      </w:r>
      <w:r>
        <w:rPr>
          <w:lang w:val="en-US" w:eastAsia="en-US"/>
        </w:rPr>
        <w:t>By employing such systems, the retail groups</w:t>
      </w:r>
      <w:r w:rsidRPr="00576D15">
        <w:rPr>
          <w:lang w:val="en-US" w:eastAsia="en-US"/>
        </w:rPr>
        <w:t xml:space="preserve"> </w:t>
      </w:r>
      <w:r>
        <w:rPr>
          <w:lang w:val="en-US" w:eastAsia="en-US"/>
        </w:rPr>
        <w:t>get</w:t>
      </w:r>
      <w:r w:rsidRPr="00576D15">
        <w:rPr>
          <w:lang w:val="en-US" w:eastAsia="en-US"/>
        </w:rPr>
        <w:t xml:space="preserve"> comprehensive authorization of the various store units they govern. </w:t>
      </w:r>
      <w:r>
        <w:rPr>
          <w:lang w:val="en-US" w:eastAsia="en-US"/>
        </w:rPr>
        <w:t xml:space="preserve">Almost all grocery stores in Norway are affiliated with a retail group, and most under one of the three dominating groups </w:t>
      </w:r>
      <w:r w:rsidRPr="00457A73">
        <w:rPr>
          <w:lang w:val="en-US" w:eastAsia="en-US"/>
        </w:rPr>
        <w:t>(see table 1).</w:t>
      </w:r>
    </w:p>
    <w:p w14:paraId="2A52DC95" w14:textId="77777777" w:rsidR="00934EFA" w:rsidRDefault="00934EFA" w:rsidP="004D087F">
      <w:pPr>
        <w:spacing w:line="276" w:lineRule="auto"/>
        <w:rPr>
          <w:lang w:val="en-US" w:eastAsia="en-US"/>
        </w:rPr>
      </w:pPr>
    </w:p>
    <w:p w14:paraId="47E50570" w14:textId="77777777" w:rsidR="00934EFA" w:rsidRPr="00D12A84" w:rsidRDefault="00934EFA" w:rsidP="009D68FC">
      <w:pPr>
        <w:rPr>
          <w:b/>
          <w:lang w:val="en-US" w:eastAsia="en-US"/>
        </w:rPr>
      </w:pPr>
    </w:p>
    <w:tbl>
      <w:tblPr>
        <w:tblStyle w:val="Tabellrutenet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2693"/>
        <w:gridCol w:w="2551"/>
        <w:gridCol w:w="2212"/>
      </w:tblGrid>
      <w:tr w:rsidR="00934EFA" w:rsidRPr="00D12A84" w14:paraId="4CA3833C" w14:textId="77777777" w:rsidTr="00581AAE">
        <w:trPr>
          <w:trHeight w:val="311"/>
        </w:trPr>
        <w:tc>
          <w:tcPr>
            <w:tcW w:w="1565" w:type="dxa"/>
            <w:tcBorders>
              <w:top w:val="single" w:sz="4" w:space="0" w:color="auto"/>
            </w:tcBorders>
            <w:shd w:val="clear" w:color="auto" w:fill="EDEDED" w:themeFill="accent3" w:themeFillTint="33"/>
          </w:tcPr>
          <w:p w14:paraId="380E7434" w14:textId="77777777" w:rsidR="00934EFA" w:rsidRPr="00D12A84" w:rsidRDefault="00934EFA" w:rsidP="00E04450">
            <w:pPr>
              <w:tabs>
                <w:tab w:val="left" w:pos="1134"/>
              </w:tabs>
              <w:jc w:val="both"/>
              <w:rPr>
                <w:b/>
                <w:sz w:val="22"/>
                <w:szCs w:val="22"/>
                <w:lang w:val="en-US"/>
              </w:rPr>
            </w:pPr>
            <w:r>
              <w:rPr>
                <w:b/>
                <w:sz w:val="22"/>
                <w:szCs w:val="22"/>
                <w:lang w:val="en-US"/>
              </w:rPr>
              <w:t>Retail group</w:t>
            </w:r>
          </w:p>
        </w:tc>
        <w:tc>
          <w:tcPr>
            <w:tcW w:w="2693" w:type="dxa"/>
            <w:tcBorders>
              <w:top w:val="single" w:sz="4" w:space="0" w:color="auto"/>
            </w:tcBorders>
            <w:shd w:val="clear" w:color="auto" w:fill="EDEDED" w:themeFill="accent3" w:themeFillTint="33"/>
          </w:tcPr>
          <w:p w14:paraId="1D8CB28E" w14:textId="77777777" w:rsidR="00934EFA" w:rsidRPr="00D12A84" w:rsidRDefault="00934EFA" w:rsidP="00E04450">
            <w:pPr>
              <w:tabs>
                <w:tab w:val="left" w:pos="1134"/>
              </w:tabs>
              <w:jc w:val="center"/>
              <w:rPr>
                <w:b/>
                <w:sz w:val="20"/>
                <w:szCs w:val="20"/>
              </w:rPr>
            </w:pPr>
            <w:r w:rsidRPr="00D12A84">
              <w:rPr>
                <w:b/>
                <w:sz w:val="20"/>
                <w:szCs w:val="20"/>
              </w:rPr>
              <w:t>Production &amp; processing</w:t>
            </w:r>
          </w:p>
        </w:tc>
        <w:tc>
          <w:tcPr>
            <w:tcW w:w="2551" w:type="dxa"/>
            <w:tcBorders>
              <w:top w:val="single" w:sz="4" w:space="0" w:color="auto"/>
            </w:tcBorders>
            <w:shd w:val="clear" w:color="auto" w:fill="EDEDED" w:themeFill="accent3" w:themeFillTint="33"/>
          </w:tcPr>
          <w:p w14:paraId="39AAA5E3" w14:textId="77777777" w:rsidR="00934EFA" w:rsidRPr="00D12A84" w:rsidRDefault="00934EFA" w:rsidP="00E04450">
            <w:pPr>
              <w:tabs>
                <w:tab w:val="left" w:pos="1134"/>
              </w:tabs>
              <w:jc w:val="center"/>
              <w:rPr>
                <w:b/>
                <w:sz w:val="20"/>
                <w:szCs w:val="20"/>
              </w:rPr>
            </w:pPr>
            <w:r w:rsidRPr="00D12A84">
              <w:rPr>
                <w:b/>
                <w:sz w:val="20"/>
                <w:szCs w:val="20"/>
              </w:rPr>
              <w:t>Wholesale</w:t>
            </w:r>
          </w:p>
        </w:tc>
        <w:tc>
          <w:tcPr>
            <w:tcW w:w="2212" w:type="dxa"/>
            <w:tcBorders>
              <w:top w:val="single" w:sz="4" w:space="0" w:color="auto"/>
            </w:tcBorders>
            <w:shd w:val="clear" w:color="auto" w:fill="EDEDED" w:themeFill="accent3" w:themeFillTint="33"/>
          </w:tcPr>
          <w:p w14:paraId="62AAC70F" w14:textId="77777777" w:rsidR="00934EFA" w:rsidRPr="00D12A84" w:rsidRDefault="00934EFA" w:rsidP="00E04450">
            <w:pPr>
              <w:tabs>
                <w:tab w:val="left" w:pos="1134"/>
              </w:tabs>
              <w:jc w:val="center"/>
              <w:rPr>
                <w:b/>
                <w:sz w:val="20"/>
                <w:szCs w:val="20"/>
              </w:rPr>
            </w:pPr>
            <w:r>
              <w:rPr>
                <w:b/>
                <w:sz w:val="20"/>
                <w:szCs w:val="20"/>
              </w:rPr>
              <w:t>Retail stores</w:t>
            </w:r>
          </w:p>
        </w:tc>
      </w:tr>
      <w:tr w:rsidR="00934EFA" w:rsidRPr="00096EBB" w14:paraId="269436B8" w14:textId="77777777" w:rsidTr="00581AAE">
        <w:trPr>
          <w:trHeight w:val="721"/>
        </w:trPr>
        <w:tc>
          <w:tcPr>
            <w:tcW w:w="1565" w:type="dxa"/>
            <w:tcBorders>
              <w:bottom w:val="single" w:sz="4" w:space="0" w:color="auto"/>
            </w:tcBorders>
          </w:tcPr>
          <w:p w14:paraId="37EE6725" w14:textId="77777777" w:rsidR="00934EFA" w:rsidRPr="00D12A84" w:rsidRDefault="00934EFA" w:rsidP="00E04450">
            <w:pPr>
              <w:tabs>
                <w:tab w:val="left" w:pos="1134"/>
              </w:tabs>
              <w:rPr>
                <w:i/>
                <w:sz w:val="20"/>
                <w:szCs w:val="20"/>
              </w:rPr>
            </w:pPr>
            <w:r>
              <w:rPr>
                <w:i/>
                <w:sz w:val="20"/>
                <w:szCs w:val="20"/>
              </w:rPr>
              <w:t>NorgesG</w:t>
            </w:r>
            <w:r w:rsidRPr="00D12A84">
              <w:rPr>
                <w:i/>
                <w:sz w:val="20"/>
                <w:szCs w:val="20"/>
              </w:rPr>
              <w:t>ruppen</w:t>
            </w:r>
          </w:p>
        </w:tc>
        <w:tc>
          <w:tcPr>
            <w:tcW w:w="2693" w:type="dxa"/>
            <w:tcBorders>
              <w:bottom w:val="single" w:sz="4" w:space="0" w:color="auto"/>
            </w:tcBorders>
          </w:tcPr>
          <w:p w14:paraId="4FF7C1D2" w14:textId="77777777" w:rsidR="00934EFA" w:rsidRPr="00517D05" w:rsidRDefault="00934EFA" w:rsidP="00E04450">
            <w:pPr>
              <w:tabs>
                <w:tab w:val="left" w:pos="1134"/>
              </w:tabs>
              <w:rPr>
                <w:sz w:val="20"/>
                <w:szCs w:val="20"/>
                <w:lang w:val="nb-NO"/>
              </w:rPr>
            </w:pPr>
            <w:r w:rsidRPr="00517D05">
              <w:rPr>
                <w:sz w:val="20"/>
                <w:szCs w:val="20"/>
              </w:rPr>
              <w:t xml:space="preserve">Ownership interests in </w:t>
            </w:r>
            <w:r w:rsidRPr="00517D05">
              <w:rPr>
                <w:i/>
                <w:sz w:val="20"/>
                <w:szCs w:val="20"/>
              </w:rPr>
              <w:t>Bakehuset</w:t>
            </w:r>
            <w:r w:rsidRPr="00517D05">
              <w:rPr>
                <w:sz w:val="20"/>
                <w:szCs w:val="20"/>
              </w:rPr>
              <w:t xml:space="preserve">, </w:t>
            </w:r>
            <w:r w:rsidRPr="00517D05">
              <w:rPr>
                <w:i/>
                <w:sz w:val="20"/>
                <w:szCs w:val="20"/>
              </w:rPr>
              <w:t xml:space="preserve">Joh. </w:t>
            </w:r>
            <w:r w:rsidRPr="00517D05">
              <w:rPr>
                <w:i/>
                <w:sz w:val="20"/>
                <w:szCs w:val="20"/>
                <w:lang w:val="nb-NO"/>
              </w:rPr>
              <w:t>Johannson Kaffe</w:t>
            </w:r>
            <w:r w:rsidRPr="00517D05">
              <w:rPr>
                <w:sz w:val="20"/>
                <w:szCs w:val="20"/>
                <w:lang w:val="nb-NO"/>
              </w:rPr>
              <w:t xml:space="preserve">, </w:t>
            </w:r>
            <w:r w:rsidRPr="00517D05">
              <w:rPr>
                <w:i/>
                <w:sz w:val="20"/>
                <w:szCs w:val="20"/>
                <w:lang w:val="nb-NO"/>
              </w:rPr>
              <w:t>Matbørsen</w:t>
            </w:r>
            <w:r w:rsidRPr="00517D05">
              <w:rPr>
                <w:sz w:val="20"/>
                <w:szCs w:val="20"/>
                <w:lang w:val="nb-NO"/>
              </w:rPr>
              <w:t xml:space="preserve">, </w:t>
            </w:r>
            <w:r w:rsidRPr="00C463E1">
              <w:rPr>
                <w:i/>
                <w:sz w:val="20"/>
                <w:szCs w:val="20"/>
                <w:lang w:val="nb-NO"/>
              </w:rPr>
              <w:t>Bama</w:t>
            </w:r>
            <w:r w:rsidRPr="00517D05">
              <w:rPr>
                <w:sz w:val="20"/>
                <w:szCs w:val="20"/>
                <w:lang w:val="nb-NO"/>
              </w:rPr>
              <w:t xml:space="preserve">, and </w:t>
            </w:r>
            <w:r w:rsidRPr="00517D05">
              <w:rPr>
                <w:i/>
                <w:sz w:val="20"/>
                <w:szCs w:val="20"/>
                <w:lang w:val="nb-NO"/>
              </w:rPr>
              <w:t>GrøstadGris</w:t>
            </w:r>
          </w:p>
        </w:tc>
        <w:tc>
          <w:tcPr>
            <w:tcW w:w="2551" w:type="dxa"/>
            <w:tcBorders>
              <w:bottom w:val="single" w:sz="4" w:space="0" w:color="auto"/>
            </w:tcBorders>
          </w:tcPr>
          <w:p w14:paraId="6ED364C9" w14:textId="77777777" w:rsidR="00934EFA" w:rsidRPr="008275BB" w:rsidRDefault="00934EFA" w:rsidP="00D61C17">
            <w:pPr>
              <w:tabs>
                <w:tab w:val="left" w:pos="1134"/>
              </w:tabs>
              <w:rPr>
                <w:sz w:val="20"/>
                <w:szCs w:val="20"/>
                <w:lang w:val="en-US"/>
              </w:rPr>
            </w:pPr>
            <w:r w:rsidRPr="008275BB">
              <w:rPr>
                <w:i/>
                <w:sz w:val="20"/>
                <w:szCs w:val="20"/>
                <w:lang w:val="en-US"/>
              </w:rPr>
              <w:t>Asko</w:t>
            </w:r>
            <w:r w:rsidRPr="008275BB">
              <w:rPr>
                <w:sz w:val="20"/>
                <w:szCs w:val="20"/>
                <w:lang w:val="en-US"/>
              </w:rPr>
              <w:t xml:space="preserve"> distributes products to the </w:t>
            </w:r>
            <w:r>
              <w:rPr>
                <w:sz w:val="20"/>
                <w:szCs w:val="20"/>
                <w:lang w:val="en-US"/>
              </w:rPr>
              <w:t>group’</w:t>
            </w:r>
            <w:r w:rsidRPr="008275BB">
              <w:rPr>
                <w:sz w:val="20"/>
                <w:szCs w:val="20"/>
                <w:lang w:val="en-US"/>
              </w:rPr>
              <w:t xml:space="preserve">s </w:t>
            </w:r>
            <w:r>
              <w:rPr>
                <w:sz w:val="20"/>
                <w:szCs w:val="20"/>
                <w:lang w:val="en-US"/>
              </w:rPr>
              <w:t>chains</w:t>
            </w:r>
            <w:r w:rsidRPr="008275BB">
              <w:rPr>
                <w:sz w:val="20"/>
                <w:szCs w:val="20"/>
                <w:lang w:val="en-US"/>
              </w:rPr>
              <w:t>, catering, and service trade</w:t>
            </w:r>
          </w:p>
        </w:tc>
        <w:tc>
          <w:tcPr>
            <w:tcW w:w="2212" w:type="dxa"/>
            <w:tcBorders>
              <w:bottom w:val="single" w:sz="4" w:space="0" w:color="auto"/>
            </w:tcBorders>
          </w:tcPr>
          <w:p w14:paraId="3ECE6882" w14:textId="33234EE0" w:rsidR="00934EFA" w:rsidRDefault="00934EFA" w:rsidP="00E04450">
            <w:pPr>
              <w:tabs>
                <w:tab w:val="left" w:pos="1134"/>
              </w:tabs>
              <w:rPr>
                <w:sz w:val="20"/>
                <w:szCs w:val="20"/>
                <w:lang w:val="en-US"/>
              </w:rPr>
            </w:pPr>
            <w:r w:rsidRPr="00C804AE">
              <w:rPr>
                <w:i/>
                <w:sz w:val="20"/>
                <w:szCs w:val="20"/>
                <w:lang w:val="en-US"/>
              </w:rPr>
              <w:t>Kiwi, Meny, Spar</w:t>
            </w:r>
            <w:r w:rsidR="004F36D5">
              <w:rPr>
                <w:i/>
                <w:sz w:val="20"/>
                <w:szCs w:val="20"/>
                <w:lang w:val="en-US"/>
              </w:rPr>
              <w:t>/Eurospar</w:t>
            </w:r>
            <w:r w:rsidRPr="00517D05">
              <w:rPr>
                <w:sz w:val="20"/>
                <w:szCs w:val="20"/>
                <w:lang w:val="en-US"/>
              </w:rPr>
              <w:t>,</w:t>
            </w:r>
            <w:r w:rsidR="004F36D5">
              <w:rPr>
                <w:sz w:val="20"/>
                <w:szCs w:val="20"/>
                <w:lang w:val="en-US"/>
              </w:rPr>
              <w:t xml:space="preserve"> </w:t>
            </w:r>
            <w:r w:rsidR="004F36D5" w:rsidRPr="004F36D5">
              <w:rPr>
                <w:i/>
                <w:sz w:val="20"/>
                <w:szCs w:val="20"/>
                <w:lang w:val="en-US"/>
              </w:rPr>
              <w:t>Jacob’s, Nærbutikken</w:t>
            </w:r>
            <w:r w:rsidRPr="00517D05">
              <w:rPr>
                <w:sz w:val="20"/>
                <w:szCs w:val="20"/>
                <w:lang w:val="en-US"/>
              </w:rPr>
              <w:t xml:space="preserve"> and </w:t>
            </w:r>
            <w:r w:rsidRPr="00C804AE">
              <w:rPr>
                <w:i/>
                <w:sz w:val="20"/>
                <w:szCs w:val="20"/>
                <w:lang w:val="en-US"/>
              </w:rPr>
              <w:t>Joker</w:t>
            </w:r>
          </w:p>
          <w:p w14:paraId="0F8C15E0" w14:textId="77777777" w:rsidR="00934EFA" w:rsidRDefault="00934EFA" w:rsidP="00E04450">
            <w:pPr>
              <w:tabs>
                <w:tab w:val="left" w:pos="1134"/>
              </w:tabs>
              <w:rPr>
                <w:sz w:val="20"/>
                <w:szCs w:val="20"/>
                <w:lang w:val="en-US"/>
              </w:rPr>
            </w:pPr>
          </w:p>
          <w:p w14:paraId="0C2FF344" w14:textId="77777777" w:rsidR="00934EFA" w:rsidRPr="00517D05" w:rsidRDefault="00934EFA" w:rsidP="00E04450">
            <w:pPr>
              <w:tabs>
                <w:tab w:val="left" w:pos="1134"/>
              </w:tabs>
              <w:rPr>
                <w:sz w:val="20"/>
                <w:szCs w:val="20"/>
                <w:lang w:val="en-US"/>
              </w:rPr>
            </w:pPr>
            <w:r w:rsidRPr="00517D05">
              <w:rPr>
                <w:sz w:val="20"/>
                <w:szCs w:val="20"/>
                <w:lang w:val="en-US"/>
              </w:rPr>
              <w:t>Both franchise and own stores</w:t>
            </w:r>
          </w:p>
        </w:tc>
      </w:tr>
      <w:tr w:rsidR="00934EFA" w:rsidRPr="00096EBB" w14:paraId="607190D1" w14:textId="77777777" w:rsidTr="0073747D">
        <w:trPr>
          <w:trHeight w:val="1134"/>
        </w:trPr>
        <w:tc>
          <w:tcPr>
            <w:tcW w:w="1565" w:type="dxa"/>
            <w:tcBorders>
              <w:top w:val="single" w:sz="4" w:space="0" w:color="auto"/>
              <w:bottom w:val="single" w:sz="4" w:space="0" w:color="auto"/>
            </w:tcBorders>
          </w:tcPr>
          <w:p w14:paraId="1F040178" w14:textId="77777777" w:rsidR="00934EFA" w:rsidRPr="00D12A84" w:rsidRDefault="00934EFA" w:rsidP="00E04450">
            <w:pPr>
              <w:tabs>
                <w:tab w:val="left" w:pos="1134"/>
              </w:tabs>
              <w:rPr>
                <w:i/>
                <w:sz w:val="20"/>
                <w:szCs w:val="20"/>
              </w:rPr>
            </w:pPr>
            <w:r w:rsidRPr="00D12A84">
              <w:rPr>
                <w:i/>
                <w:sz w:val="20"/>
                <w:szCs w:val="20"/>
              </w:rPr>
              <w:t xml:space="preserve">Coop </w:t>
            </w:r>
          </w:p>
        </w:tc>
        <w:tc>
          <w:tcPr>
            <w:tcW w:w="2693" w:type="dxa"/>
            <w:tcBorders>
              <w:top w:val="single" w:sz="4" w:space="0" w:color="auto"/>
              <w:bottom w:val="single" w:sz="4" w:space="0" w:color="auto"/>
            </w:tcBorders>
          </w:tcPr>
          <w:p w14:paraId="77B91D26" w14:textId="77777777" w:rsidR="00934EFA" w:rsidRPr="00517D05" w:rsidRDefault="00934EFA" w:rsidP="00E04450">
            <w:pPr>
              <w:tabs>
                <w:tab w:val="left" w:pos="1134"/>
              </w:tabs>
              <w:rPr>
                <w:sz w:val="20"/>
                <w:szCs w:val="20"/>
              </w:rPr>
            </w:pPr>
            <w:r w:rsidRPr="00517D05">
              <w:rPr>
                <w:sz w:val="20"/>
                <w:szCs w:val="20"/>
              </w:rPr>
              <w:t xml:space="preserve">Ownership interests in </w:t>
            </w:r>
            <w:r w:rsidRPr="00517D05">
              <w:rPr>
                <w:i/>
                <w:sz w:val="20"/>
                <w:szCs w:val="20"/>
              </w:rPr>
              <w:t>Coop Norge Kaffe, Røra Fabrikker, Margarinfabrikken, Nord Blomst, Tradeway</w:t>
            </w:r>
            <w:r w:rsidRPr="00517D05">
              <w:rPr>
                <w:sz w:val="20"/>
                <w:szCs w:val="20"/>
              </w:rPr>
              <w:t xml:space="preserve">, and </w:t>
            </w:r>
            <w:r w:rsidRPr="00517D05">
              <w:rPr>
                <w:i/>
                <w:sz w:val="20"/>
                <w:szCs w:val="20"/>
              </w:rPr>
              <w:t>Gomanbakeren</w:t>
            </w:r>
          </w:p>
        </w:tc>
        <w:tc>
          <w:tcPr>
            <w:tcW w:w="2551" w:type="dxa"/>
            <w:tcBorders>
              <w:top w:val="single" w:sz="4" w:space="0" w:color="auto"/>
              <w:bottom w:val="single" w:sz="4" w:space="0" w:color="auto"/>
            </w:tcBorders>
          </w:tcPr>
          <w:p w14:paraId="13A042BA" w14:textId="77777777" w:rsidR="00934EFA" w:rsidRPr="00517D05" w:rsidRDefault="00934EFA" w:rsidP="00D934D4">
            <w:pPr>
              <w:tabs>
                <w:tab w:val="left" w:pos="1134"/>
              </w:tabs>
              <w:rPr>
                <w:sz w:val="20"/>
                <w:szCs w:val="20"/>
              </w:rPr>
            </w:pPr>
            <w:r w:rsidRPr="005E5632">
              <w:rPr>
                <w:i/>
                <w:sz w:val="20"/>
                <w:szCs w:val="20"/>
              </w:rPr>
              <w:t>Coop Norway</w:t>
            </w:r>
            <w:r w:rsidRPr="00517D05">
              <w:rPr>
                <w:sz w:val="20"/>
                <w:szCs w:val="20"/>
              </w:rPr>
              <w:t xml:space="preserve"> are responsible for wholesale and logistics for </w:t>
            </w:r>
            <w:r>
              <w:rPr>
                <w:sz w:val="20"/>
                <w:szCs w:val="20"/>
              </w:rPr>
              <w:t>the group’s chains</w:t>
            </w:r>
          </w:p>
        </w:tc>
        <w:tc>
          <w:tcPr>
            <w:tcW w:w="2212" w:type="dxa"/>
            <w:tcBorders>
              <w:top w:val="single" w:sz="4" w:space="0" w:color="auto"/>
              <w:bottom w:val="single" w:sz="4" w:space="0" w:color="auto"/>
            </w:tcBorders>
          </w:tcPr>
          <w:p w14:paraId="062CA03B" w14:textId="77777777" w:rsidR="00934EFA" w:rsidRDefault="00934EFA" w:rsidP="00E04450">
            <w:pPr>
              <w:tabs>
                <w:tab w:val="left" w:pos="1134"/>
              </w:tabs>
              <w:rPr>
                <w:sz w:val="20"/>
                <w:szCs w:val="20"/>
              </w:rPr>
            </w:pPr>
            <w:r w:rsidRPr="00C804AE">
              <w:rPr>
                <w:i/>
                <w:sz w:val="20"/>
                <w:szCs w:val="20"/>
              </w:rPr>
              <w:t>Obs, Extra, Coop Prix, Coop Mega, Coop Marked</w:t>
            </w:r>
            <w:r w:rsidRPr="00517D05">
              <w:rPr>
                <w:sz w:val="20"/>
                <w:szCs w:val="20"/>
              </w:rPr>
              <w:t xml:space="preserve">, and </w:t>
            </w:r>
            <w:r w:rsidRPr="00C804AE">
              <w:rPr>
                <w:i/>
                <w:sz w:val="20"/>
                <w:szCs w:val="20"/>
              </w:rPr>
              <w:t>Matkroken</w:t>
            </w:r>
          </w:p>
          <w:p w14:paraId="790BB5EC" w14:textId="77777777" w:rsidR="00934EFA" w:rsidRDefault="00934EFA" w:rsidP="00E04450">
            <w:pPr>
              <w:tabs>
                <w:tab w:val="left" w:pos="1134"/>
              </w:tabs>
              <w:rPr>
                <w:sz w:val="20"/>
                <w:szCs w:val="20"/>
              </w:rPr>
            </w:pPr>
          </w:p>
          <w:p w14:paraId="514F0B4E" w14:textId="77777777" w:rsidR="00934EFA" w:rsidRPr="00517D05" w:rsidRDefault="00934EFA" w:rsidP="00E04450">
            <w:pPr>
              <w:tabs>
                <w:tab w:val="left" w:pos="1134"/>
              </w:tabs>
              <w:rPr>
                <w:sz w:val="20"/>
                <w:szCs w:val="20"/>
              </w:rPr>
            </w:pPr>
            <w:r w:rsidRPr="00517D05">
              <w:rPr>
                <w:sz w:val="20"/>
                <w:szCs w:val="20"/>
              </w:rPr>
              <w:t>Both franchise and own stores</w:t>
            </w:r>
          </w:p>
        </w:tc>
      </w:tr>
      <w:tr w:rsidR="00934EFA" w:rsidRPr="00517D05" w14:paraId="77D01202" w14:textId="77777777" w:rsidTr="0073747D">
        <w:trPr>
          <w:trHeight w:val="1134"/>
        </w:trPr>
        <w:tc>
          <w:tcPr>
            <w:tcW w:w="1565" w:type="dxa"/>
            <w:tcBorders>
              <w:top w:val="single" w:sz="4" w:space="0" w:color="auto"/>
              <w:bottom w:val="single" w:sz="4" w:space="0" w:color="auto"/>
            </w:tcBorders>
          </w:tcPr>
          <w:p w14:paraId="7FCD87D3" w14:textId="77777777" w:rsidR="00934EFA" w:rsidRPr="00D12A84" w:rsidRDefault="00934EFA" w:rsidP="00E04450">
            <w:pPr>
              <w:tabs>
                <w:tab w:val="left" w:pos="1134"/>
              </w:tabs>
              <w:contextualSpacing/>
              <w:rPr>
                <w:i/>
                <w:sz w:val="20"/>
                <w:szCs w:val="20"/>
              </w:rPr>
            </w:pPr>
            <w:r w:rsidRPr="00D12A84">
              <w:rPr>
                <w:i/>
                <w:sz w:val="20"/>
                <w:szCs w:val="20"/>
              </w:rPr>
              <w:t xml:space="preserve">Rema </w:t>
            </w:r>
          </w:p>
        </w:tc>
        <w:tc>
          <w:tcPr>
            <w:tcW w:w="2693" w:type="dxa"/>
            <w:tcBorders>
              <w:top w:val="single" w:sz="4" w:space="0" w:color="auto"/>
              <w:bottom w:val="single" w:sz="4" w:space="0" w:color="auto"/>
            </w:tcBorders>
          </w:tcPr>
          <w:p w14:paraId="0AE0AB0F" w14:textId="77777777" w:rsidR="00934EFA" w:rsidRPr="00517D05" w:rsidRDefault="00934EFA" w:rsidP="00E04450">
            <w:pPr>
              <w:tabs>
                <w:tab w:val="left" w:pos="1134"/>
              </w:tabs>
              <w:rPr>
                <w:sz w:val="20"/>
                <w:szCs w:val="20"/>
                <w:lang w:val="nb-NO"/>
              </w:rPr>
            </w:pPr>
            <w:r w:rsidRPr="00517D05">
              <w:rPr>
                <w:sz w:val="20"/>
                <w:szCs w:val="20"/>
                <w:lang w:val="nb-NO"/>
              </w:rPr>
              <w:t xml:space="preserve">Ownership interests </w:t>
            </w:r>
            <w:r w:rsidRPr="00517D05">
              <w:rPr>
                <w:i/>
                <w:sz w:val="20"/>
                <w:szCs w:val="20"/>
                <w:lang w:val="nb-NO"/>
              </w:rPr>
              <w:t>in Norsk Kylling, Hugaas Industrier, Stange, Kolonihagen, Grans Bryggeri, Spekeloftet, Kjelsberg Kaffe</w:t>
            </w:r>
            <w:r w:rsidRPr="00517D05">
              <w:rPr>
                <w:sz w:val="20"/>
                <w:szCs w:val="20"/>
                <w:lang w:val="nb-NO"/>
              </w:rPr>
              <w:t>,</w:t>
            </w:r>
            <w:r>
              <w:rPr>
                <w:sz w:val="20"/>
                <w:szCs w:val="20"/>
                <w:lang w:val="nb-NO"/>
              </w:rPr>
              <w:t xml:space="preserve"> and</w:t>
            </w:r>
            <w:r w:rsidRPr="00517D05">
              <w:rPr>
                <w:sz w:val="20"/>
                <w:szCs w:val="20"/>
                <w:lang w:val="nb-NO"/>
              </w:rPr>
              <w:t xml:space="preserve"> </w:t>
            </w:r>
            <w:r w:rsidRPr="00517D05">
              <w:rPr>
                <w:i/>
                <w:sz w:val="20"/>
                <w:szCs w:val="20"/>
                <w:lang w:val="nb-NO"/>
              </w:rPr>
              <w:t>Bama</w:t>
            </w:r>
          </w:p>
        </w:tc>
        <w:tc>
          <w:tcPr>
            <w:tcW w:w="2551" w:type="dxa"/>
            <w:tcBorders>
              <w:top w:val="single" w:sz="4" w:space="0" w:color="auto"/>
              <w:bottom w:val="single" w:sz="4" w:space="0" w:color="auto"/>
            </w:tcBorders>
          </w:tcPr>
          <w:p w14:paraId="680F063C" w14:textId="77777777" w:rsidR="00934EFA" w:rsidRPr="00A546CA" w:rsidRDefault="00934EFA" w:rsidP="0073747D">
            <w:pPr>
              <w:tabs>
                <w:tab w:val="left" w:pos="1134"/>
              </w:tabs>
              <w:rPr>
                <w:i/>
                <w:sz w:val="20"/>
                <w:szCs w:val="20"/>
                <w:lang w:val="en-US"/>
              </w:rPr>
            </w:pPr>
            <w:r w:rsidRPr="005E5632">
              <w:rPr>
                <w:i/>
                <w:sz w:val="20"/>
                <w:szCs w:val="20"/>
                <w:lang w:val="en-US"/>
              </w:rPr>
              <w:t xml:space="preserve">Rema </w:t>
            </w:r>
            <w:r w:rsidRPr="00517D05">
              <w:rPr>
                <w:sz w:val="20"/>
                <w:szCs w:val="20"/>
                <w:lang w:val="en-US"/>
              </w:rPr>
              <w:t xml:space="preserve">distributes products to the </w:t>
            </w:r>
            <w:r>
              <w:rPr>
                <w:sz w:val="20"/>
                <w:szCs w:val="20"/>
              </w:rPr>
              <w:t>group’s chains</w:t>
            </w:r>
            <w:r w:rsidRPr="00517D05">
              <w:rPr>
                <w:sz w:val="20"/>
                <w:szCs w:val="20"/>
                <w:lang w:val="en-US"/>
              </w:rPr>
              <w:t xml:space="preserve">, </w:t>
            </w:r>
            <w:r w:rsidRPr="005E5632">
              <w:rPr>
                <w:i/>
                <w:sz w:val="20"/>
                <w:szCs w:val="20"/>
                <w:lang w:val="en-US"/>
              </w:rPr>
              <w:t>Servicegrossistene</w:t>
            </w:r>
            <w:r w:rsidRPr="00517D05">
              <w:rPr>
                <w:sz w:val="20"/>
                <w:szCs w:val="20"/>
                <w:lang w:val="en-US"/>
              </w:rPr>
              <w:t xml:space="preserve">, </w:t>
            </w:r>
            <w:r w:rsidRPr="005E5632">
              <w:rPr>
                <w:i/>
                <w:sz w:val="20"/>
                <w:szCs w:val="20"/>
                <w:lang w:val="en-US"/>
              </w:rPr>
              <w:t>Kolonial.no, Reitan Convenience</w:t>
            </w:r>
            <w:r w:rsidRPr="00517D05">
              <w:rPr>
                <w:sz w:val="20"/>
                <w:szCs w:val="20"/>
                <w:lang w:val="en-US"/>
              </w:rPr>
              <w:t xml:space="preserve">, and </w:t>
            </w:r>
            <w:r w:rsidRPr="005E5632">
              <w:rPr>
                <w:i/>
                <w:sz w:val="20"/>
                <w:szCs w:val="20"/>
                <w:lang w:val="en-US"/>
              </w:rPr>
              <w:t>Circle K</w:t>
            </w:r>
          </w:p>
        </w:tc>
        <w:tc>
          <w:tcPr>
            <w:tcW w:w="2212" w:type="dxa"/>
            <w:tcBorders>
              <w:top w:val="single" w:sz="4" w:space="0" w:color="auto"/>
              <w:bottom w:val="single" w:sz="4" w:space="0" w:color="auto"/>
            </w:tcBorders>
          </w:tcPr>
          <w:p w14:paraId="7B2AC0A9" w14:textId="07F8443F" w:rsidR="00E172F6" w:rsidRPr="00E172F6" w:rsidRDefault="00E172F6" w:rsidP="00E04450">
            <w:pPr>
              <w:tabs>
                <w:tab w:val="left" w:pos="1134"/>
              </w:tabs>
              <w:rPr>
                <w:i/>
                <w:sz w:val="20"/>
                <w:szCs w:val="20"/>
                <w:lang w:val="en-US"/>
              </w:rPr>
            </w:pPr>
            <w:r w:rsidRPr="00E172F6">
              <w:rPr>
                <w:i/>
                <w:sz w:val="20"/>
                <w:szCs w:val="20"/>
                <w:lang w:val="en-US"/>
              </w:rPr>
              <w:t>Rema 1000</w:t>
            </w:r>
          </w:p>
          <w:p w14:paraId="7DD89FF8" w14:textId="77777777" w:rsidR="00E172F6" w:rsidRDefault="00E172F6" w:rsidP="00E04450">
            <w:pPr>
              <w:tabs>
                <w:tab w:val="left" w:pos="1134"/>
              </w:tabs>
              <w:rPr>
                <w:sz w:val="20"/>
                <w:szCs w:val="20"/>
                <w:lang w:val="en-US"/>
              </w:rPr>
            </w:pPr>
          </w:p>
          <w:p w14:paraId="236F16F2" w14:textId="4C051CB2" w:rsidR="00934EFA" w:rsidRPr="00517D05" w:rsidRDefault="00934EFA" w:rsidP="00E04450">
            <w:pPr>
              <w:tabs>
                <w:tab w:val="left" w:pos="1134"/>
              </w:tabs>
              <w:rPr>
                <w:sz w:val="20"/>
                <w:szCs w:val="20"/>
                <w:lang w:val="en-US"/>
              </w:rPr>
            </w:pPr>
            <w:r w:rsidRPr="00517D05">
              <w:rPr>
                <w:sz w:val="20"/>
                <w:szCs w:val="20"/>
                <w:lang w:val="en-US"/>
              </w:rPr>
              <w:t>Entirely franchise-driven</w:t>
            </w:r>
          </w:p>
        </w:tc>
      </w:tr>
    </w:tbl>
    <w:p w14:paraId="044FDD9A" w14:textId="77777777" w:rsidR="00934EFA" w:rsidRDefault="00934EFA" w:rsidP="009D68FC">
      <w:pPr>
        <w:rPr>
          <w:sz w:val="20"/>
          <w:szCs w:val="20"/>
          <w:lang w:val="en-US" w:eastAsia="en-US"/>
        </w:rPr>
      </w:pPr>
    </w:p>
    <w:p w14:paraId="06F50EA0" w14:textId="4ECEB945" w:rsidR="00934EFA" w:rsidRPr="0035057C" w:rsidRDefault="00934EFA" w:rsidP="009D68FC">
      <w:pPr>
        <w:rPr>
          <w:sz w:val="20"/>
          <w:szCs w:val="20"/>
          <w:lang w:val="en-US" w:eastAsia="en-US"/>
        </w:rPr>
      </w:pPr>
      <w:r>
        <w:rPr>
          <w:sz w:val="20"/>
          <w:szCs w:val="20"/>
          <w:lang w:val="en-US" w:eastAsia="en-US"/>
        </w:rPr>
        <w:t>Table 1</w:t>
      </w:r>
      <w:r w:rsidRPr="0035057C">
        <w:rPr>
          <w:sz w:val="20"/>
          <w:szCs w:val="20"/>
          <w:lang w:val="en-US" w:eastAsia="en-US"/>
        </w:rPr>
        <w:t>. The value chain of the food distribution sector</w:t>
      </w:r>
      <w:r>
        <w:rPr>
          <w:sz w:val="20"/>
          <w:szCs w:val="20"/>
          <w:lang w:val="en-US" w:eastAsia="en-US"/>
        </w:rPr>
        <w:t xml:space="preserve"> by the three dominating retail groups:</w:t>
      </w:r>
      <w:r w:rsidRPr="0035057C">
        <w:rPr>
          <w:sz w:val="20"/>
          <w:szCs w:val="20"/>
          <w:lang w:val="en-US" w:eastAsia="en-US"/>
        </w:rPr>
        <w:t xml:space="preserve"> </w:t>
      </w:r>
      <w:r>
        <w:rPr>
          <w:i/>
          <w:sz w:val="20"/>
          <w:szCs w:val="20"/>
          <w:lang w:val="en-US" w:eastAsia="en-US"/>
        </w:rPr>
        <w:t>NorgesG</w:t>
      </w:r>
      <w:r w:rsidRPr="003A66D1">
        <w:rPr>
          <w:i/>
          <w:sz w:val="20"/>
          <w:szCs w:val="20"/>
          <w:lang w:val="en-US" w:eastAsia="en-US"/>
        </w:rPr>
        <w:t>ruppen, Rema</w:t>
      </w:r>
      <w:r w:rsidRPr="0035057C">
        <w:rPr>
          <w:sz w:val="20"/>
          <w:szCs w:val="20"/>
          <w:lang w:val="en-US" w:eastAsia="en-US"/>
        </w:rPr>
        <w:t xml:space="preserve">, and </w:t>
      </w:r>
      <w:r w:rsidRPr="003A66D1">
        <w:rPr>
          <w:i/>
          <w:sz w:val="20"/>
          <w:szCs w:val="20"/>
          <w:lang w:val="en-US" w:eastAsia="en-US"/>
        </w:rPr>
        <w:t>Coop</w:t>
      </w:r>
      <w:r w:rsidRPr="0035057C">
        <w:rPr>
          <w:sz w:val="20"/>
          <w:szCs w:val="20"/>
          <w:lang w:val="en-US" w:eastAsia="en-US"/>
        </w:rPr>
        <w:t>.</w:t>
      </w:r>
      <w:r>
        <w:rPr>
          <w:sz w:val="20"/>
          <w:szCs w:val="20"/>
          <w:lang w:val="en-US" w:eastAsia="en-US"/>
        </w:rPr>
        <w:t xml:space="preserve"> Table adapted from </w:t>
      </w:r>
      <w:r>
        <w:rPr>
          <w:noProof/>
          <w:sz w:val="20"/>
          <w:szCs w:val="20"/>
          <w:lang w:val="en-US" w:eastAsia="en-US"/>
        </w:rPr>
        <w:t>Oslo Economics (2017)</w:t>
      </w:r>
      <w:r w:rsidR="00D22B1B">
        <w:rPr>
          <w:sz w:val="20"/>
          <w:szCs w:val="20"/>
          <w:lang w:val="en-US" w:eastAsia="en-US"/>
        </w:rPr>
        <w:t xml:space="preserve"> </w:t>
      </w:r>
      <w:r w:rsidR="00E35F43">
        <w:rPr>
          <w:sz w:val="20"/>
          <w:szCs w:val="20"/>
          <w:lang w:val="en-US" w:eastAsia="en-US"/>
        </w:rPr>
        <w:t>with added</w:t>
      </w:r>
      <w:r w:rsidR="00D22B1B">
        <w:rPr>
          <w:sz w:val="20"/>
          <w:szCs w:val="20"/>
          <w:lang w:val="en-US" w:eastAsia="en-US"/>
        </w:rPr>
        <w:t xml:space="preserve"> information from Dagli</w:t>
      </w:r>
      <w:r w:rsidR="00BA0394">
        <w:rPr>
          <w:sz w:val="20"/>
          <w:szCs w:val="20"/>
          <w:lang w:val="en-US" w:eastAsia="en-US"/>
        </w:rPr>
        <w:t>g</w:t>
      </w:r>
      <w:r w:rsidR="00D22B1B">
        <w:rPr>
          <w:sz w:val="20"/>
          <w:szCs w:val="20"/>
          <w:lang w:val="en-US" w:eastAsia="en-US"/>
        </w:rPr>
        <w:t>varefasiten (2018).</w:t>
      </w:r>
    </w:p>
    <w:p w14:paraId="023ED404" w14:textId="77777777" w:rsidR="00934EFA" w:rsidRPr="00287A9E" w:rsidRDefault="00934EFA" w:rsidP="009D68FC">
      <w:pPr>
        <w:rPr>
          <w:b/>
          <w:lang w:val="en-US" w:eastAsia="en-US"/>
        </w:rPr>
      </w:pPr>
    </w:p>
    <w:p w14:paraId="3F58404C" w14:textId="77777777" w:rsidR="00934EFA" w:rsidRPr="00576D15" w:rsidRDefault="00934EFA" w:rsidP="009A340C">
      <w:pPr>
        <w:spacing w:line="276" w:lineRule="auto"/>
        <w:rPr>
          <w:lang w:val="en-US" w:eastAsia="en-US"/>
        </w:rPr>
      </w:pPr>
    </w:p>
    <w:p w14:paraId="37A768D9" w14:textId="4C32A355" w:rsidR="00934EFA" w:rsidRDefault="00934EFA" w:rsidP="009A340C">
      <w:pPr>
        <w:spacing w:line="276" w:lineRule="auto"/>
        <w:rPr>
          <w:lang w:val="en-US" w:eastAsia="en-US"/>
        </w:rPr>
      </w:pPr>
      <w:r w:rsidRPr="00576D15">
        <w:rPr>
          <w:lang w:val="en-US" w:eastAsia="en-US"/>
        </w:rPr>
        <w:t>As of 2</w:t>
      </w:r>
      <w:r w:rsidRPr="003D1852">
        <w:rPr>
          <w:lang w:val="en-US" w:eastAsia="en-US"/>
        </w:rPr>
        <w:t>017</w:t>
      </w:r>
      <w:r w:rsidRPr="00576D15">
        <w:rPr>
          <w:lang w:val="en-US" w:eastAsia="en-US"/>
        </w:rPr>
        <w:t xml:space="preserve">, </w:t>
      </w:r>
      <w:r>
        <w:rPr>
          <w:lang w:val="en-US" w:eastAsia="en-US"/>
        </w:rPr>
        <w:t>96</w:t>
      </w:r>
      <w:r w:rsidRPr="00576D15">
        <w:rPr>
          <w:lang w:val="en-US" w:eastAsia="en-US"/>
        </w:rPr>
        <w:t xml:space="preserve">% of total turnover </w:t>
      </w:r>
      <w:r>
        <w:rPr>
          <w:lang w:val="en-US" w:eastAsia="en-US"/>
        </w:rPr>
        <w:t>at retail level and approximately 100% of turnover at wholesale level</w:t>
      </w:r>
      <w:r w:rsidRPr="00576D15">
        <w:rPr>
          <w:lang w:val="en-US" w:eastAsia="en-US"/>
        </w:rPr>
        <w:t xml:space="preserve"> is achieved through </w:t>
      </w:r>
      <w:r>
        <w:rPr>
          <w:lang w:val="en-US" w:eastAsia="en-US"/>
        </w:rPr>
        <w:t>the</w:t>
      </w:r>
      <w:r w:rsidRPr="00576D15">
        <w:rPr>
          <w:lang w:val="en-US" w:eastAsia="en-US"/>
        </w:rPr>
        <w:t xml:space="preserve"> </w:t>
      </w:r>
      <w:r>
        <w:rPr>
          <w:lang w:val="en-US" w:eastAsia="en-US"/>
        </w:rPr>
        <w:t xml:space="preserve">retail groups </w:t>
      </w:r>
      <w:r>
        <w:rPr>
          <w:noProof/>
          <w:lang w:val="en-US" w:eastAsia="en-US"/>
        </w:rPr>
        <w:t>(Oslo Economics, 2017)</w:t>
      </w:r>
      <w:r w:rsidRPr="00576D15">
        <w:rPr>
          <w:lang w:val="en-US" w:eastAsia="en-US"/>
        </w:rPr>
        <w:t xml:space="preserve">. Measured by </w:t>
      </w:r>
      <w:r w:rsidRPr="00576D15">
        <w:rPr>
          <w:lang w:val="en-US" w:eastAsia="en-US"/>
        </w:rPr>
        <w:lastRenderedPageBreak/>
        <w:t>turnover</w:t>
      </w:r>
      <w:r>
        <w:rPr>
          <w:lang w:val="en-US" w:eastAsia="en-US"/>
        </w:rPr>
        <w:t xml:space="preserve"> at the retail level</w:t>
      </w:r>
      <w:r w:rsidRPr="00576D15">
        <w:rPr>
          <w:lang w:val="en-US" w:eastAsia="en-US"/>
        </w:rPr>
        <w:t xml:space="preserve">, </w:t>
      </w:r>
      <w:r>
        <w:rPr>
          <w:i/>
          <w:lang w:val="en-US" w:eastAsia="en-US"/>
        </w:rPr>
        <w:t>NorgesGruppen</w:t>
      </w:r>
      <w:r w:rsidRPr="00576D15">
        <w:rPr>
          <w:lang w:val="en-US" w:eastAsia="en-US"/>
        </w:rPr>
        <w:t xml:space="preserve"> is the largest </w:t>
      </w:r>
      <w:r>
        <w:rPr>
          <w:lang w:val="en-US" w:eastAsia="en-US"/>
        </w:rPr>
        <w:t>group</w:t>
      </w:r>
      <w:r w:rsidRPr="00576D15">
        <w:rPr>
          <w:lang w:val="en-US" w:eastAsia="en-US"/>
        </w:rPr>
        <w:t xml:space="preserve">, closely followed by </w:t>
      </w:r>
      <w:r>
        <w:rPr>
          <w:i/>
          <w:lang w:val="en-US" w:eastAsia="en-US"/>
        </w:rPr>
        <w:t>Coop</w:t>
      </w:r>
      <w:r w:rsidRPr="00576D15">
        <w:rPr>
          <w:lang w:val="en-US" w:eastAsia="en-US"/>
        </w:rPr>
        <w:t xml:space="preserve"> and </w:t>
      </w:r>
      <w:r>
        <w:rPr>
          <w:i/>
          <w:lang w:val="en-US" w:eastAsia="en-US"/>
        </w:rPr>
        <w:t>Rema</w:t>
      </w:r>
      <w:r w:rsidRPr="00576D15">
        <w:rPr>
          <w:lang w:val="en-US" w:eastAsia="en-US"/>
        </w:rPr>
        <w:t>. Taken together, these three</w:t>
      </w:r>
      <w:r>
        <w:rPr>
          <w:lang w:val="en-US" w:eastAsia="en-US"/>
        </w:rPr>
        <w:t xml:space="preserve"> groups</w:t>
      </w:r>
      <w:r w:rsidRPr="00576D15">
        <w:rPr>
          <w:lang w:val="en-US" w:eastAsia="en-US"/>
        </w:rPr>
        <w:t xml:space="preserve"> have a </w:t>
      </w:r>
      <w:r>
        <w:rPr>
          <w:lang w:val="en-US" w:eastAsia="en-US"/>
        </w:rPr>
        <w:t xml:space="preserve">stable average </w:t>
      </w:r>
      <w:r w:rsidRPr="00576D15">
        <w:rPr>
          <w:lang w:val="en-US" w:eastAsia="en-US"/>
        </w:rPr>
        <w:t xml:space="preserve">total market share of </w:t>
      </w:r>
      <w:r>
        <w:rPr>
          <w:lang w:val="en-US" w:eastAsia="en-US"/>
        </w:rPr>
        <w:t>around 80</w:t>
      </w:r>
      <w:r w:rsidRPr="00576D15">
        <w:rPr>
          <w:lang w:val="en-US" w:eastAsia="en-US"/>
        </w:rPr>
        <w:t>%</w:t>
      </w:r>
      <w:r>
        <w:rPr>
          <w:lang w:val="en-US" w:eastAsia="en-US"/>
        </w:rPr>
        <w:t xml:space="preserve"> </w:t>
      </w:r>
      <w:r>
        <w:rPr>
          <w:noProof/>
          <w:lang w:val="en-US" w:eastAsia="en-US"/>
        </w:rPr>
        <w:t>(Oslo Economics, 2017)</w:t>
      </w:r>
      <w:r w:rsidRPr="00576D15">
        <w:rPr>
          <w:lang w:val="en-US" w:eastAsia="en-US"/>
        </w:rPr>
        <w:t>.</w:t>
      </w:r>
      <w:r>
        <w:rPr>
          <w:lang w:val="en-US" w:eastAsia="en-US"/>
        </w:rPr>
        <w:t xml:space="preserve"> More </w:t>
      </w:r>
      <w:r w:rsidR="00801F1A">
        <w:rPr>
          <w:lang w:val="en-US" w:eastAsia="en-US"/>
        </w:rPr>
        <w:t>specifically, in 2017</w:t>
      </w:r>
      <w:r>
        <w:rPr>
          <w:lang w:val="en-US" w:eastAsia="en-US"/>
        </w:rPr>
        <w:t xml:space="preserve"> </w:t>
      </w:r>
      <w:r>
        <w:rPr>
          <w:i/>
          <w:lang w:val="en-US" w:eastAsia="en-US"/>
        </w:rPr>
        <w:t>NorgesG</w:t>
      </w:r>
      <w:r w:rsidRPr="00B46263">
        <w:rPr>
          <w:i/>
          <w:lang w:val="en-US" w:eastAsia="en-US"/>
        </w:rPr>
        <w:t>ruppen</w:t>
      </w:r>
      <w:r w:rsidR="00801F1A">
        <w:rPr>
          <w:lang w:val="en-US" w:eastAsia="en-US"/>
        </w:rPr>
        <w:t xml:space="preserve"> controlled 43</w:t>
      </w:r>
      <w:r>
        <w:rPr>
          <w:lang w:val="en-US" w:eastAsia="en-US"/>
        </w:rPr>
        <w:t>.</w:t>
      </w:r>
      <w:r w:rsidR="00801F1A">
        <w:rPr>
          <w:lang w:val="en-US" w:eastAsia="en-US"/>
        </w:rPr>
        <w:t>1</w:t>
      </w:r>
      <w:r>
        <w:rPr>
          <w:lang w:val="en-US" w:eastAsia="en-US"/>
        </w:rPr>
        <w:t xml:space="preserve">% of the total market share, followed by </w:t>
      </w:r>
      <w:r w:rsidRPr="00B46263">
        <w:rPr>
          <w:i/>
          <w:lang w:val="en-US" w:eastAsia="en-US"/>
        </w:rPr>
        <w:t>Coop</w:t>
      </w:r>
      <w:r>
        <w:rPr>
          <w:lang w:val="en-US" w:eastAsia="en-US"/>
        </w:rPr>
        <w:t xml:space="preserve"> (29.</w:t>
      </w:r>
      <w:r w:rsidR="00801F1A">
        <w:rPr>
          <w:lang w:val="en-US" w:eastAsia="en-US"/>
        </w:rPr>
        <w:t>7</w:t>
      </w:r>
      <w:r>
        <w:rPr>
          <w:lang w:val="en-US" w:eastAsia="en-US"/>
        </w:rPr>
        <w:t xml:space="preserve">%) and </w:t>
      </w:r>
      <w:r w:rsidRPr="00B46263">
        <w:rPr>
          <w:i/>
          <w:lang w:val="en-US" w:eastAsia="en-US"/>
        </w:rPr>
        <w:t>Rema</w:t>
      </w:r>
      <w:r w:rsidR="00801F1A">
        <w:rPr>
          <w:lang w:val="en-US" w:eastAsia="en-US"/>
        </w:rPr>
        <w:t xml:space="preserve"> (23</w:t>
      </w:r>
      <w:r>
        <w:rPr>
          <w:lang w:val="en-US" w:eastAsia="en-US"/>
        </w:rPr>
        <w:t xml:space="preserve">.4%). The fourth largest retail group </w:t>
      </w:r>
      <w:r w:rsidRPr="00652C65">
        <w:rPr>
          <w:i/>
          <w:lang w:val="en-US" w:eastAsia="en-US"/>
        </w:rPr>
        <w:t>Bunnpris</w:t>
      </w:r>
      <w:r>
        <w:rPr>
          <w:lang w:val="en-US" w:eastAsia="en-US"/>
        </w:rPr>
        <w:t xml:space="preserve"> only controlled 3.</w:t>
      </w:r>
      <w:r w:rsidR="00801F1A">
        <w:rPr>
          <w:lang w:val="en-US" w:eastAsia="en-US"/>
        </w:rPr>
        <w:t>8</w:t>
      </w:r>
      <w:r>
        <w:rPr>
          <w:lang w:val="en-US" w:eastAsia="en-US"/>
        </w:rPr>
        <w:t>% of the market sha</w:t>
      </w:r>
      <w:r w:rsidR="00801F1A">
        <w:rPr>
          <w:lang w:val="en-US" w:eastAsia="en-US"/>
        </w:rPr>
        <w:t>re in 2017</w:t>
      </w:r>
      <w:r>
        <w:rPr>
          <w:lang w:val="en-US" w:eastAsia="en-US"/>
        </w:rPr>
        <w:t xml:space="preserve"> with a turnover of 6.4 billion NOK, while other groups controlled merely 0.1% </w:t>
      </w:r>
      <w:r>
        <w:rPr>
          <w:noProof/>
          <w:lang w:val="en-US" w:eastAsia="en-US"/>
        </w:rPr>
        <w:t>(Nielsen, 2017b)</w:t>
      </w:r>
      <w:r>
        <w:rPr>
          <w:lang w:val="en-US" w:eastAsia="en-US"/>
        </w:rPr>
        <w:t xml:space="preserve">. </w:t>
      </w:r>
    </w:p>
    <w:p w14:paraId="2C6E1105" w14:textId="77777777" w:rsidR="00934EFA" w:rsidRDefault="00934EFA" w:rsidP="009D68FC">
      <w:pPr>
        <w:rPr>
          <w:lang w:val="en-US" w:eastAsia="en-US"/>
        </w:rPr>
      </w:pPr>
    </w:p>
    <w:p w14:paraId="158FAB89" w14:textId="77777777" w:rsidR="00934EFA" w:rsidRDefault="00934EFA" w:rsidP="009D68FC">
      <w:pPr>
        <w:rPr>
          <w:lang w:val="en-US" w:eastAsia="en-US"/>
        </w:rPr>
      </w:pPr>
    </w:p>
    <w:tbl>
      <w:tblPr>
        <w:tblStyle w:val="Tabellrutenet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5"/>
        <w:gridCol w:w="2552"/>
        <w:gridCol w:w="1933"/>
      </w:tblGrid>
      <w:tr w:rsidR="00934EFA" w:rsidRPr="00517D05" w14:paraId="36F56226" w14:textId="77777777" w:rsidTr="00581AAE">
        <w:trPr>
          <w:trHeight w:val="217"/>
        </w:trPr>
        <w:tc>
          <w:tcPr>
            <w:tcW w:w="1701" w:type="dxa"/>
            <w:tcBorders>
              <w:top w:val="single" w:sz="4" w:space="0" w:color="auto"/>
            </w:tcBorders>
            <w:shd w:val="clear" w:color="auto" w:fill="EDEDED" w:themeFill="accent3" w:themeFillTint="33"/>
          </w:tcPr>
          <w:p w14:paraId="43B45B85" w14:textId="77777777" w:rsidR="00934EFA" w:rsidRPr="008275BB" w:rsidRDefault="00934EFA" w:rsidP="00E04450">
            <w:pPr>
              <w:tabs>
                <w:tab w:val="left" w:pos="1134"/>
              </w:tabs>
              <w:jc w:val="both"/>
              <w:rPr>
                <w:b/>
                <w:sz w:val="22"/>
                <w:szCs w:val="22"/>
                <w:lang w:val="en-US"/>
              </w:rPr>
            </w:pPr>
            <w:r>
              <w:rPr>
                <w:b/>
                <w:sz w:val="22"/>
                <w:szCs w:val="22"/>
                <w:lang w:val="en-US"/>
              </w:rPr>
              <w:t>Retail group</w:t>
            </w:r>
          </w:p>
        </w:tc>
        <w:tc>
          <w:tcPr>
            <w:tcW w:w="2835" w:type="dxa"/>
            <w:tcBorders>
              <w:top w:val="single" w:sz="4" w:space="0" w:color="auto"/>
            </w:tcBorders>
            <w:shd w:val="clear" w:color="auto" w:fill="EDEDED" w:themeFill="accent3" w:themeFillTint="33"/>
          </w:tcPr>
          <w:p w14:paraId="7927D25B" w14:textId="77777777" w:rsidR="00934EFA" w:rsidRPr="00517D05" w:rsidRDefault="00934EFA" w:rsidP="00E04450">
            <w:pPr>
              <w:tabs>
                <w:tab w:val="left" w:pos="1134"/>
              </w:tabs>
              <w:jc w:val="center"/>
              <w:rPr>
                <w:b/>
                <w:sz w:val="22"/>
                <w:szCs w:val="22"/>
              </w:rPr>
            </w:pPr>
            <w:r>
              <w:rPr>
                <w:b/>
                <w:sz w:val="22"/>
                <w:szCs w:val="22"/>
              </w:rPr>
              <w:t>Market share</w:t>
            </w:r>
          </w:p>
        </w:tc>
        <w:tc>
          <w:tcPr>
            <w:tcW w:w="2552" w:type="dxa"/>
            <w:tcBorders>
              <w:top w:val="single" w:sz="4" w:space="0" w:color="auto"/>
            </w:tcBorders>
            <w:shd w:val="clear" w:color="auto" w:fill="EDEDED" w:themeFill="accent3" w:themeFillTint="33"/>
          </w:tcPr>
          <w:p w14:paraId="07BDF37C" w14:textId="77777777" w:rsidR="00934EFA" w:rsidRPr="00517D05" w:rsidRDefault="00934EFA" w:rsidP="00E04450">
            <w:pPr>
              <w:tabs>
                <w:tab w:val="left" w:pos="1134"/>
              </w:tabs>
              <w:jc w:val="center"/>
              <w:rPr>
                <w:b/>
                <w:sz w:val="22"/>
                <w:szCs w:val="22"/>
              </w:rPr>
            </w:pPr>
            <w:r>
              <w:rPr>
                <w:b/>
                <w:sz w:val="22"/>
                <w:szCs w:val="22"/>
              </w:rPr>
              <w:t>Turnover (NOK)</w:t>
            </w:r>
          </w:p>
        </w:tc>
        <w:tc>
          <w:tcPr>
            <w:tcW w:w="1933" w:type="dxa"/>
            <w:tcBorders>
              <w:top w:val="single" w:sz="4" w:space="0" w:color="auto"/>
            </w:tcBorders>
            <w:shd w:val="clear" w:color="auto" w:fill="EDEDED" w:themeFill="accent3" w:themeFillTint="33"/>
          </w:tcPr>
          <w:p w14:paraId="1D328A6E" w14:textId="77777777" w:rsidR="00934EFA" w:rsidRPr="00517D05" w:rsidRDefault="00934EFA" w:rsidP="00E04450">
            <w:pPr>
              <w:tabs>
                <w:tab w:val="left" w:pos="1134"/>
              </w:tabs>
              <w:jc w:val="center"/>
              <w:rPr>
                <w:b/>
                <w:sz w:val="22"/>
                <w:szCs w:val="22"/>
              </w:rPr>
            </w:pPr>
            <w:r>
              <w:rPr>
                <w:b/>
                <w:sz w:val="22"/>
                <w:szCs w:val="22"/>
              </w:rPr>
              <w:t>Store number</w:t>
            </w:r>
          </w:p>
        </w:tc>
      </w:tr>
      <w:tr w:rsidR="00934EFA" w:rsidRPr="00793808" w14:paraId="417AE1D4" w14:textId="77777777" w:rsidTr="00783DB4">
        <w:trPr>
          <w:trHeight w:val="288"/>
        </w:trPr>
        <w:tc>
          <w:tcPr>
            <w:tcW w:w="1701" w:type="dxa"/>
          </w:tcPr>
          <w:p w14:paraId="7EC30A84" w14:textId="77777777" w:rsidR="00934EFA" w:rsidRPr="00D12A84" w:rsidRDefault="00934EFA" w:rsidP="00E04450">
            <w:pPr>
              <w:tabs>
                <w:tab w:val="left" w:pos="1134"/>
              </w:tabs>
              <w:rPr>
                <w:i/>
                <w:sz w:val="22"/>
                <w:szCs w:val="22"/>
              </w:rPr>
            </w:pPr>
            <w:r>
              <w:rPr>
                <w:i/>
                <w:sz w:val="22"/>
                <w:szCs w:val="22"/>
              </w:rPr>
              <w:t>NorgesG</w:t>
            </w:r>
            <w:r w:rsidRPr="00D12A84">
              <w:rPr>
                <w:i/>
                <w:sz w:val="22"/>
                <w:szCs w:val="22"/>
              </w:rPr>
              <w:t>ruppen</w:t>
            </w:r>
          </w:p>
        </w:tc>
        <w:tc>
          <w:tcPr>
            <w:tcW w:w="2835" w:type="dxa"/>
          </w:tcPr>
          <w:p w14:paraId="1B776B6F" w14:textId="6975C759" w:rsidR="00934EFA" w:rsidRPr="00793808" w:rsidRDefault="00793808" w:rsidP="00E04450">
            <w:pPr>
              <w:tabs>
                <w:tab w:val="left" w:pos="1134"/>
              </w:tabs>
              <w:jc w:val="center"/>
              <w:rPr>
                <w:sz w:val="20"/>
                <w:szCs w:val="20"/>
                <w:lang w:val="en-US"/>
              </w:rPr>
            </w:pPr>
            <w:r w:rsidRPr="00793808">
              <w:rPr>
                <w:sz w:val="20"/>
                <w:szCs w:val="20"/>
                <w:lang w:val="en-US"/>
              </w:rPr>
              <w:t>43</w:t>
            </w:r>
            <w:r w:rsidR="00934EFA" w:rsidRPr="00793808">
              <w:rPr>
                <w:sz w:val="20"/>
                <w:szCs w:val="20"/>
                <w:lang w:val="en-US"/>
              </w:rPr>
              <w:t>.</w:t>
            </w:r>
            <w:r>
              <w:rPr>
                <w:sz w:val="20"/>
                <w:szCs w:val="20"/>
                <w:lang w:val="en-US"/>
              </w:rPr>
              <w:t>1</w:t>
            </w:r>
            <w:r w:rsidR="00934EFA" w:rsidRPr="00793808">
              <w:rPr>
                <w:sz w:val="20"/>
                <w:szCs w:val="20"/>
                <w:lang w:val="en-US"/>
              </w:rPr>
              <w:t xml:space="preserve"> %</w:t>
            </w:r>
          </w:p>
        </w:tc>
        <w:tc>
          <w:tcPr>
            <w:tcW w:w="2552" w:type="dxa"/>
          </w:tcPr>
          <w:p w14:paraId="4F613001" w14:textId="77777777" w:rsidR="00934EFA" w:rsidRPr="008275BB" w:rsidRDefault="00934EFA" w:rsidP="00E04450">
            <w:pPr>
              <w:tabs>
                <w:tab w:val="left" w:pos="1134"/>
              </w:tabs>
              <w:jc w:val="center"/>
              <w:rPr>
                <w:sz w:val="20"/>
                <w:szCs w:val="20"/>
                <w:lang w:val="en-US"/>
              </w:rPr>
            </w:pPr>
            <w:r>
              <w:rPr>
                <w:sz w:val="20"/>
                <w:szCs w:val="20"/>
                <w:lang w:val="en-US"/>
              </w:rPr>
              <w:t>71.6 billion</w:t>
            </w:r>
          </w:p>
        </w:tc>
        <w:tc>
          <w:tcPr>
            <w:tcW w:w="1933" w:type="dxa"/>
          </w:tcPr>
          <w:p w14:paraId="5E7B766B" w14:textId="77777777" w:rsidR="00934EFA" w:rsidRPr="00517D05" w:rsidRDefault="00934EFA" w:rsidP="00E04450">
            <w:pPr>
              <w:tabs>
                <w:tab w:val="left" w:pos="1134"/>
              </w:tabs>
              <w:jc w:val="center"/>
              <w:rPr>
                <w:sz w:val="20"/>
                <w:szCs w:val="20"/>
                <w:lang w:val="en-US"/>
              </w:rPr>
            </w:pPr>
            <w:r>
              <w:rPr>
                <w:sz w:val="20"/>
                <w:szCs w:val="20"/>
                <w:lang w:val="en-US"/>
              </w:rPr>
              <w:t>1850</w:t>
            </w:r>
          </w:p>
        </w:tc>
      </w:tr>
      <w:tr w:rsidR="00934EFA" w:rsidRPr="00B460B8" w14:paraId="53C98A25" w14:textId="77777777" w:rsidTr="002F03F0">
        <w:trPr>
          <w:trHeight w:val="292"/>
        </w:trPr>
        <w:tc>
          <w:tcPr>
            <w:tcW w:w="1701" w:type="dxa"/>
          </w:tcPr>
          <w:p w14:paraId="22365EA1" w14:textId="77777777" w:rsidR="00934EFA" w:rsidRPr="00D12A84" w:rsidRDefault="00934EFA" w:rsidP="00E04450">
            <w:pPr>
              <w:tabs>
                <w:tab w:val="left" w:pos="1134"/>
              </w:tabs>
              <w:contextualSpacing/>
              <w:rPr>
                <w:i/>
                <w:sz w:val="22"/>
                <w:szCs w:val="22"/>
              </w:rPr>
            </w:pPr>
            <w:r w:rsidRPr="00D12A84">
              <w:rPr>
                <w:i/>
                <w:sz w:val="22"/>
                <w:szCs w:val="22"/>
              </w:rPr>
              <w:t xml:space="preserve">Coop </w:t>
            </w:r>
          </w:p>
        </w:tc>
        <w:tc>
          <w:tcPr>
            <w:tcW w:w="2835" w:type="dxa"/>
          </w:tcPr>
          <w:p w14:paraId="1AD90D73" w14:textId="35EC6966" w:rsidR="00934EFA" w:rsidRPr="00B460B8" w:rsidRDefault="00934EFA" w:rsidP="00E04450">
            <w:pPr>
              <w:tabs>
                <w:tab w:val="left" w:pos="1134"/>
              </w:tabs>
              <w:jc w:val="center"/>
              <w:rPr>
                <w:sz w:val="20"/>
                <w:szCs w:val="20"/>
                <w:lang w:val="en-US"/>
              </w:rPr>
            </w:pPr>
            <w:r w:rsidRPr="00B460B8">
              <w:rPr>
                <w:sz w:val="20"/>
                <w:szCs w:val="20"/>
                <w:lang w:val="en-US"/>
              </w:rPr>
              <w:t>29.</w:t>
            </w:r>
            <w:r w:rsidR="00B460B8">
              <w:rPr>
                <w:sz w:val="20"/>
                <w:szCs w:val="20"/>
                <w:lang w:val="en-US"/>
              </w:rPr>
              <w:t>7</w:t>
            </w:r>
            <w:r w:rsidRPr="00B460B8">
              <w:rPr>
                <w:sz w:val="20"/>
                <w:szCs w:val="20"/>
                <w:lang w:val="en-US"/>
              </w:rPr>
              <w:t xml:space="preserve"> %</w:t>
            </w:r>
          </w:p>
        </w:tc>
        <w:tc>
          <w:tcPr>
            <w:tcW w:w="2552" w:type="dxa"/>
          </w:tcPr>
          <w:p w14:paraId="13E5A8C8" w14:textId="77777777" w:rsidR="00934EFA" w:rsidRPr="009C5902" w:rsidRDefault="00934EFA" w:rsidP="00E04450">
            <w:pPr>
              <w:tabs>
                <w:tab w:val="left" w:pos="1134"/>
              </w:tabs>
              <w:jc w:val="center"/>
              <w:rPr>
                <w:sz w:val="20"/>
                <w:szCs w:val="20"/>
                <w:lang w:val="en-US"/>
              </w:rPr>
            </w:pPr>
            <w:r>
              <w:rPr>
                <w:sz w:val="20"/>
                <w:szCs w:val="20"/>
                <w:lang w:val="en-US"/>
              </w:rPr>
              <w:t>49.8 billion</w:t>
            </w:r>
          </w:p>
        </w:tc>
        <w:tc>
          <w:tcPr>
            <w:tcW w:w="1933" w:type="dxa"/>
          </w:tcPr>
          <w:p w14:paraId="6C88B661" w14:textId="77777777" w:rsidR="00934EFA" w:rsidRPr="00517D05" w:rsidRDefault="00934EFA" w:rsidP="00E04450">
            <w:pPr>
              <w:tabs>
                <w:tab w:val="left" w:pos="1134"/>
              </w:tabs>
              <w:jc w:val="center"/>
              <w:rPr>
                <w:sz w:val="20"/>
                <w:szCs w:val="20"/>
                <w:lang w:val="en-US"/>
              </w:rPr>
            </w:pPr>
            <w:r w:rsidRPr="009C5902">
              <w:rPr>
                <w:sz w:val="20"/>
                <w:szCs w:val="20"/>
                <w:lang w:val="en-US"/>
              </w:rPr>
              <w:t>1150</w:t>
            </w:r>
          </w:p>
        </w:tc>
      </w:tr>
      <w:tr w:rsidR="00934EFA" w:rsidRPr="00B460B8" w14:paraId="4E2D97FB" w14:textId="77777777" w:rsidTr="002F03F0">
        <w:trPr>
          <w:trHeight w:val="288"/>
        </w:trPr>
        <w:tc>
          <w:tcPr>
            <w:tcW w:w="1701" w:type="dxa"/>
            <w:tcBorders>
              <w:bottom w:val="single" w:sz="4" w:space="0" w:color="auto"/>
            </w:tcBorders>
          </w:tcPr>
          <w:p w14:paraId="75C57E49" w14:textId="77777777" w:rsidR="00934EFA" w:rsidRPr="00D12A84" w:rsidRDefault="00934EFA" w:rsidP="00E04450">
            <w:pPr>
              <w:tabs>
                <w:tab w:val="left" w:pos="1134"/>
              </w:tabs>
              <w:rPr>
                <w:i/>
                <w:sz w:val="22"/>
                <w:szCs w:val="22"/>
              </w:rPr>
            </w:pPr>
            <w:r w:rsidRPr="00D12A84">
              <w:rPr>
                <w:i/>
                <w:sz w:val="22"/>
                <w:szCs w:val="22"/>
              </w:rPr>
              <w:t xml:space="preserve">Rema </w:t>
            </w:r>
          </w:p>
        </w:tc>
        <w:tc>
          <w:tcPr>
            <w:tcW w:w="2835" w:type="dxa"/>
            <w:tcBorders>
              <w:bottom w:val="single" w:sz="4" w:space="0" w:color="auto"/>
            </w:tcBorders>
          </w:tcPr>
          <w:p w14:paraId="348AB659" w14:textId="6E15E902" w:rsidR="00934EFA" w:rsidRPr="00517D05" w:rsidRDefault="00793808" w:rsidP="00E04450">
            <w:pPr>
              <w:tabs>
                <w:tab w:val="left" w:pos="1134"/>
              </w:tabs>
              <w:jc w:val="center"/>
              <w:rPr>
                <w:sz w:val="20"/>
                <w:szCs w:val="20"/>
              </w:rPr>
            </w:pPr>
            <w:r>
              <w:rPr>
                <w:sz w:val="20"/>
                <w:szCs w:val="20"/>
              </w:rPr>
              <w:t>23</w:t>
            </w:r>
            <w:r w:rsidR="00934EFA">
              <w:rPr>
                <w:sz w:val="20"/>
                <w:szCs w:val="20"/>
              </w:rPr>
              <w:t>.4 %</w:t>
            </w:r>
          </w:p>
        </w:tc>
        <w:tc>
          <w:tcPr>
            <w:tcW w:w="2552" w:type="dxa"/>
            <w:tcBorders>
              <w:bottom w:val="single" w:sz="4" w:space="0" w:color="auto"/>
            </w:tcBorders>
          </w:tcPr>
          <w:p w14:paraId="488249AD" w14:textId="77777777" w:rsidR="00934EFA" w:rsidRPr="00517D05" w:rsidRDefault="00934EFA" w:rsidP="00E04450">
            <w:pPr>
              <w:tabs>
                <w:tab w:val="left" w:pos="1134"/>
              </w:tabs>
              <w:jc w:val="center"/>
              <w:rPr>
                <w:sz w:val="20"/>
                <w:szCs w:val="20"/>
              </w:rPr>
            </w:pPr>
            <w:r>
              <w:rPr>
                <w:sz w:val="20"/>
                <w:szCs w:val="20"/>
              </w:rPr>
              <w:t>41.3 billion</w:t>
            </w:r>
          </w:p>
        </w:tc>
        <w:tc>
          <w:tcPr>
            <w:tcW w:w="1933" w:type="dxa"/>
            <w:tcBorders>
              <w:bottom w:val="single" w:sz="4" w:space="0" w:color="auto"/>
            </w:tcBorders>
          </w:tcPr>
          <w:p w14:paraId="4951476A" w14:textId="0B0C72C7" w:rsidR="00934EFA" w:rsidRPr="00517D05" w:rsidRDefault="00793808" w:rsidP="00E04450">
            <w:pPr>
              <w:tabs>
                <w:tab w:val="left" w:pos="1134"/>
              </w:tabs>
              <w:jc w:val="center"/>
              <w:rPr>
                <w:sz w:val="20"/>
                <w:szCs w:val="20"/>
              </w:rPr>
            </w:pPr>
            <w:r>
              <w:rPr>
                <w:sz w:val="20"/>
                <w:szCs w:val="20"/>
              </w:rPr>
              <w:t>921</w:t>
            </w:r>
          </w:p>
        </w:tc>
      </w:tr>
    </w:tbl>
    <w:p w14:paraId="462C564B" w14:textId="77777777" w:rsidR="00934EFA" w:rsidRDefault="00934EFA" w:rsidP="009D68FC">
      <w:pPr>
        <w:rPr>
          <w:lang w:val="en-US" w:eastAsia="en-US"/>
        </w:rPr>
      </w:pPr>
    </w:p>
    <w:p w14:paraId="2DF75A7B" w14:textId="7F85BC5F" w:rsidR="00934EFA" w:rsidRDefault="00934EFA" w:rsidP="009D68FC">
      <w:pPr>
        <w:rPr>
          <w:sz w:val="20"/>
          <w:szCs w:val="20"/>
          <w:lang w:val="en-US" w:eastAsia="en-US"/>
        </w:rPr>
      </w:pPr>
      <w:r>
        <w:rPr>
          <w:sz w:val="20"/>
          <w:szCs w:val="20"/>
          <w:lang w:val="en-US" w:eastAsia="en-US"/>
        </w:rPr>
        <w:t>Table 2</w:t>
      </w:r>
      <w:r w:rsidRPr="00C01770">
        <w:rPr>
          <w:sz w:val="20"/>
          <w:szCs w:val="20"/>
          <w:lang w:val="en-US" w:eastAsia="en-US"/>
        </w:rPr>
        <w:t>. An overview of market share, turnover, and store number</w:t>
      </w:r>
      <w:r w:rsidR="00B460B8">
        <w:rPr>
          <w:sz w:val="20"/>
          <w:szCs w:val="20"/>
          <w:lang w:val="en-US" w:eastAsia="en-US"/>
        </w:rPr>
        <w:t xml:space="preserve"> (all as of 2017</w:t>
      </w:r>
      <w:r>
        <w:rPr>
          <w:sz w:val="20"/>
          <w:szCs w:val="20"/>
          <w:lang w:val="en-US" w:eastAsia="en-US"/>
        </w:rPr>
        <w:t>)</w:t>
      </w:r>
      <w:r w:rsidRPr="00C01770">
        <w:rPr>
          <w:sz w:val="20"/>
          <w:szCs w:val="20"/>
          <w:lang w:val="en-US" w:eastAsia="en-US"/>
        </w:rPr>
        <w:t xml:space="preserve"> for the three dominating </w:t>
      </w:r>
      <w:r>
        <w:rPr>
          <w:sz w:val="20"/>
          <w:szCs w:val="20"/>
          <w:lang w:val="en-US" w:eastAsia="en-US"/>
        </w:rPr>
        <w:t>retail groups</w:t>
      </w:r>
      <w:r w:rsidRPr="00C01770">
        <w:rPr>
          <w:sz w:val="20"/>
          <w:szCs w:val="20"/>
          <w:lang w:val="en-US" w:eastAsia="en-US"/>
        </w:rPr>
        <w:t>.</w:t>
      </w:r>
      <w:r w:rsidR="00801F1A">
        <w:rPr>
          <w:sz w:val="20"/>
          <w:szCs w:val="20"/>
          <w:lang w:val="en-US" w:eastAsia="en-US"/>
        </w:rPr>
        <w:t xml:space="preserve"> Numbers retrieved from the annual reports of No</w:t>
      </w:r>
      <w:r w:rsidR="00BA0394">
        <w:rPr>
          <w:sz w:val="20"/>
          <w:szCs w:val="20"/>
          <w:lang w:val="en-US" w:eastAsia="en-US"/>
        </w:rPr>
        <w:t>rgesG</w:t>
      </w:r>
      <w:r w:rsidR="00801F1A">
        <w:rPr>
          <w:sz w:val="20"/>
          <w:szCs w:val="20"/>
          <w:lang w:val="en-US" w:eastAsia="en-US"/>
        </w:rPr>
        <w:t>ruppen (</w:t>
      </w:r>
      <w:r w:rsidR="006B4F4B">
        <w:rPr>
          <w:sz w:val="20"/>
          <w:szCs w:val="20"/>
          <w:lang w:val="en-US" w:eastAsia="en-US"/>
        </w:rPr>
        <w:t>2017</w:t>
      </w:r>
      <w:r w:rsidR="00801F1A">
        <w:rPr>
          <w:sz w:val="20"/>
          <w:szCs w:val="20"/>
          <w:lang w:val="en-US" w:eastAsia="en-US"/>
        </w:rPr>
        <w:t>), Rema</w:t>
      </w:r>
      <w:r w:rsidR="006B4F4B">
        <w:rPr>
          <w:sz w:val="20"/>
          <w:szCs w:val="20"/>
          <w:lang w:val="en-US" w:eastAsia="en-US"/>
        </w:rPr>
        <w:t xml:space="preserve"> 1000</w:t>
      </w:r>
      <w:r w:rsidR="00801F1A">
        <w:rPr>
          <w:sz w:val="20"/>
          <w:szCs w:val="20"/>
          <w:lang w:val="en-US" w:eastAsia="en-US"/>
        </w:rPr>
        <w:t xml:space="preserve"> (</w:t>
      </w:r>
      <w:r w:rsidR="006B4F4B">
        <w:rPr>
          <w:sz w:val="20"/>
          <w:szCs w:val="20"/>
          <w:lang w:val="en-US" w:eastAsia="en-US"/>
        </w:rPr>
        <w:t>2017</w:t>
      </w:r>
      <w:r w:rsidR="00801F1A">
        <w:rPr>
          <w:sz w:val="20"/>
          <w:szCs w:val="20"/>
          <w:lang w:val="en-US" w:eastAsia="en-US"/>
        </w:rPr>
        <w:t>), Coop (</w:t>
      </w:r>
      <w:r w:rsidR="006B4F4B">
        <w:rPr>
          <w:sz w:val="20"/>
          <w:szCs w:val="20"/>
          <w:lang w:val="en-US" w:eastAsia="en-US"/>
        </w:rPr>
        <w:t>2017</w:t>
      </w:r>
      <w:r w:rsidR="00801F1A">
        <w:rPr>
          <w:sz w:val="20"/>
          <w:szCs w:val="20"/>
          <w:lang w:val="en-US" w:eastAsia="en-US"/>
        </w:rPr>
        <w:t>), and Nielsen (2017b).</w:t>
      </w:r>
    </w:p>
    <w:p w14:paraId="0556F55B" w14:textId="77777777" w:rsidR="00934EFA" w:rsidRDefault="00934EFA" w:rsidP="009D68FC">
      <w:pPr>
        <w:rPr>
          <w:sz w:val="20"/>
          <w:szCs w:val="20"/>
          <w:lang w:val="en-US" w:eastAsia="en-US"/>
        </w:rPr>
      </w:pPr>
    </w:p>
    <w:p w14:paraId="740F6146" w14:textId="77777777" w:rsidR="00934EFA" w:rsidRDefault="00934EFA" w:rsidP="009D68FC">
      <w:pPr>
        <w:rPr>
          <w:sz w:val="20"/>
          <w:szCs w:val="20"/>
          <w:lang w:val="en-US" w:eastAsia="en-US"/>
        </w:rPr>
      </w:pPr>
    </w:p>
    <w:p w14:paraId="0D13A3A2" w14:textId="77777777" w:rsidR="00934EFA" w:rsidRPr="0033192E" w:rsidRDefault="00934EFA" w:rsidP="0033192E">
      <w:pPr>
        <w:spacing w:line="276" w:lineRule="auto"/>
        <w:rPr>
          <w:lang w:val="en-US" w:eastAsia="en-US"/>
        </w:rPr>
      </w:pPr>
      <w:r>
        <w:rPr>
          <w:lang w:val="en-US" w:eastAsia="en-US"/>
        </w:rPr>
        <w:t xml:space="preserve">The food sector is rather profitable compared to other economically important sectors in Norway </w:t>
      </w:r>
      <w:r>
        <w:rPr>
          <w:noProof/>
          <w:lang w:val="en-US" w:eastAsia="en-US"/>
        </w:rPr>
        <w:t>(Braadland &amp; Hauknes, 2000)</w:t>
      </w:r>
      <w:r>
        <w:rPr>
          <w:lang w:val="en-US" w:eastAsia="en-US"/>
        </w:rPr>
        <w:t>. Compared to 2015, total turnover</w:t>
      </w:r>
      <w:r>
        <w:rPr>
          <w:rStyle w:val="Fotnotereferanse"/>
          <w:lang w:val="en-US" w:eastAsia="en-US"/>
        </w:rPr>
        <w:footnoteReference w:id="1"/>
      </w:r>
      <w:r>
        <w:rPr>
          <w:lang w:val="en-US" w:eastAsia="en-US"/>
        </w:rPr>
        <w:t xml:space="preserve"> for the food sector in 2016 increased with 3.1% </w:t>
      </w:r>
      <w:r>
        <w:rPr>
          <w:noProof/>
          <w:lang w:val="en-US" w:eastAsia="en-US"/>
        </w:rPr>
        <w:t>(Nielsen, 2017b)</w:t>
      </w:r>
      <w:r>
        <w:rPr>
          <w:lang w:val="en-US" w:eastAsia="en-US"/>
        </w:rPr>
        <w:t xml:space="preserve">. </w:t>
      </w:r>
      <w:r w:rsidRPr="007A1A67">
        <w:rPr>
          <w:lang w:val="en-US" w:eastAsia="en-US"/>
        </w:rPr>
        <w:t xml:space="preserve">In 2017, however, the sector were at a low point with merely </w:t>
      </w:r>
      <w:r>
        <w:rPr>
          <w:lang w:val="en-US" w:eastAsia="en-US"/>
        </w:rPr>
        <w:t>1.1% increase, i.e., 1.</w:t>
      </w:r>
      <w:r w:rsidRPr="007A1A67">
        <w:rPr>
          <w:lang w:val="en-US" w:eastAsia="en-US"/>
        </w:rPr>
        <w:t>9 billion NOK</w:t>
      </w:r>
      <w:r>
        <w:rPr>
          <w:lang w:val="en-US" w:eastAsia="en-US"/>
        </w:rPr>
        <w:t xml:space="preserve"> </w:t>
      </w:r>
      <w:r>
        <w:rPr>
          <w:noProof/>
          <w:lang w:val="en-US" w:eastAsia="en-US"/>
        </w:rPr>
        <w:t>(Nielsen, 2018c)</w:t>
      </w:r>
      <w:r>
        <w:rPr>
          <w:lang w:val="en-US" w:eastAsia="en-US"/>
        </w:rPr>
        <w:t xml:space="preserve">. Thus, the sector had a total turnover of 169 billion NOK at the retail level </w:t>
      </w:r>
      <w:r>
        <w:rPr>
          <w:noProof/>
          <w:lang w:val="en-US" w:eastAsia="en-US"/>
        </w:rPr>
        <w:t>(Nielsen, 2017b)</w:t>
      </w:r>
      <w:r>
        <w:rPr>
          <w:lang w:val="en-US" w:eastAsia="en-US"/>
        </w:rPr>
        <w:t xml:space="preserve">. </w:t>
      </w:r>
      <w:r w:rsidRPr="007A1A67">
        <w:rPr>
          <w:lang w:val="en-US" w:eastAsia="en-US"/>
        </w:rPr>
        <w:t xml:space="preserve">This modest development is likely the result of several factors, but perhaps especially due to increased border shopping, and heightened competition from online food shops and “dollar stores” such as </w:t>
      </w:r>
      <w:r w:rsidRPr="00ED76EA">
        <w:rPr>
          <w:i/>
          <w:lang w:val="en-US" w:eastAsia="en-US"/>
        </w:rPr>
        <w:t>Nille</w:t>
      </w:r>
      <w:r w:rsidRPr="007A1A67">
        <w:rPr>
          <w:lang w:val="en-US" w:eastAsia="en-US"/>
        </w:rPr>
        <w:t xml:space="preserve"> and </w:t>
      </w:r>
      <w:r w:rsidRPr="00ED76EA">
        <w:rPr>
          <w:i/>
          <w:lang w:val="en-US" w:eastAsia="en-US"/>
        </w:rPr>
        <w:t>Europris</w:t>
      </w:r>
      <w:r w:rsidRPr="007A1A67">
        <w:rPr>
          <w:lang w:val="en-US" w:eastAsia="en-US"/>
        </w:rPr>
        <w:t xml:space="preserve">. Profit of the food sector during the third quarter of 2018 has </w:t>
      </w:r>
      <w:r>
        <w:rPr>
          <w:lang w:val="en-US" w:eastAsia="en-US"/>
        </w:rPr>
        <w:t>however experienced an increase of 2.9 billion NOK – a growth of 2.</w:t>
      </w:r>
      <w:r w:rsidRPr="007A1A67">
        <w:rPr>
          <w:lang w:val="en-US" w:eastAsia="en-US"/>
        </w:rPr>
        <w:t>3%</w:t>
      </w:r>
      <w:r>
        <w:rPr>
          <w:lang w:val="en-US" w:eastAsia="en-US"/>
        </w:rPr>
        <w:t xml:space="preserve"> </w:t>
      </w:r>
      <w:r>
        <w:rPr>
          <w:noProof/>
          <w:lang w:val="en-US" w:eastAsia="en-US"/>
        </w:rPr>
        <w:t>(Nielsen, 2018b)</w:t>
      </w:r>
      <w:r>
        <w:rPr>
          <w:lang w:val="en-US" w:eastAsia="en-US"/>
        </w:rPr>
        <w:t xml:space="preserve">. </w:t>
      </w:r>
      <w:r w:rsidRPr="007A1A67">
        <w:rPr>
          <w:lang w:val="en-US" w:eastAsia="en-US"/>
        </w:rPr>
        <w:t>When it comes to specific food products, consumption of frozen food, beverages, and chocolate and other sugar products have witnessed the largest increase in profit. This growth of the latter two food categories is likely due to substantial raises in price resulting from governmental changes in sugar fees. Beverages and refrigerated products and oils contributes the most in terms of absolute growth and</w:t>
      </w:r>
      <w:r>
        <w:rPr>
          <w:lang w:val="en-US" w:eastAsia="en-US"/>
        </w:rPr>
        <w:t xml:space="preserve"> have a collected increase of 2.</w:t>
      </w:r>
      <w:r w:rsidRPr="007A1A67">
        <w:rPr>
          <w:lang w:val="en-US" w:eastAsia="en-US"/>
        </w:rPr>
        <w:t xml:space="preserve">1 billion NOK (incl. VAT). Conversely, cleaning-, household-, health-, and beauty products stand for a collected negative development of approximately 490 billion NOK (incl. VAT). </w:t>
      </w:r>
      <w:r>
        <w:rPr>
          <w:lang w:val="en-US" w:eastAsia="en-US"/>
        </w:rPr>
        <w:t xml:space="preserve">Downwards, the average annual turnover per store in Norway was approximately 50.5 billion NOK in 2015 </w:t>
      </w:r>
      <w:r>
        <w:rPr>
          <w:noProof/>
          <w:lang w:val="en-US" w:eastAsia="en-US"/>
        </w:rPr>
        <w:t>(Oslo Economics, 2017)</w:t>
      </w:r>
      <w:r>
        <w:rPr>
          <w:lang w:val="en-US" w:eastAsia="en-US"/>
        </w:rPr>
        <w:t>.</w:t>
      </w:r>
    </w:p>
    <w:p w14:paraId="4579323A" w14:textId="77777777" w:rsidR="00934EFA" w:rsidRDefault="00934EFA" w:rsidP="009D68FC">
      <w:pPr>
        <w:rPr>
          <w:sz w:val="20"/>
          <w:szCs w:val="20"/>
          <w:lang w:val="en-US" w:eastAsia="en-US"/>
        </w:rPr>
      </w:pPr>
    </w:p>
    <w:p w14:paraId="5588B3A2" w14:textId="77777777" w:rsidR="00934EFA" w:rsidRDefault="00934EFA" w:rsidP="009A340C">
      <w:pPr>
        <w:spacing w:line="276" w:lineRule="auto"/>
        <w:rPr>
          <w:lang w:val="en-US" w:eastAsia="en-US"/>
        </w:rPr>
      </w:pPr>
    </w:p>
    <w:p w14:paraId="78604283" w14:textId="77777777" w:rsidR="00934EFA" w:rsidRPr="0055193B" w:rsidRDefault="00934EFA" w:rsidP="009A340C">
      <w:pPr>
        <w:pStyle w:val="Overskrift2"/>
        <w:spacing w:before="0" w:line="276" w:lineRule="auto"/>
        <w:rPr>
          <w:rFonts w:ascii="Times New Roman" w:hAnsi="Times New Roman" w:cs="Times New Roman"/>
          <w:b/>
          <w:color w:val="auto"/>
          <w:sz w:val="28"/>
          <w:szCs w:val="28"/>
          <w:lang w:val="en-US" w:eastAsia="en-US"/>
        </w:rPr>
      </w:pPr>
      <w:r w:rsidRPr="0055193B">
        <w:rPr>
          <w:rFonts w:ascii="Times New Roman" w:hAnsi="Times New Roman" w:cs="Times New Roman"/>
          <w:b/>
          <w:color w:val="auto"/>
          <w:sz w:val="28"/>
          <w:szCs w:val="28"/>
          <w:lang w:val="en-US" w:eastAsia="en-US"/>
        </w:rPr>
        <w:t>Vertical integration</w:t>
      </w:r>
    </w:p>
    <w:p w14:paraId="1FE494AD" w14:textId="7B7A7604" w:rsidR="00934EFA" w:rsidRDefault="00934EFA" w:rsidP="009A340C">
      <w:pPr>
        <w:spacing w:line="276" w:lineRule="auto"/>
        <w:rPr>
          <w:lang w:val="en-US" w:eastAsia="en-US"/>
        </w:rPr>
      </w:pPr>
      <w:r w:rsidRPr="00576D15">
        <w:rPr>
          <w:lang w:val="en-US" w:eastAsia="en-US"/>
        </w:rPr>
        <w:t xml:space="preserve">The Norwegian food distribution sector is also distinguished by its vertical integration where retail groupings gain control over the wholesale level. </w:t>
      </w:r>
      <w:r>
        <w:rPr>
          <w:lang w:val="en-US" w:eastAsia="en-US"/>
        </w:rPr>
        <w:t xml:space="preserve">As a result, there are currently no independent wholesalers in the market. Any independent retailers either </w:t>
      </w:r>
      <w:r w:rsidR="00FE497A">
        <w:rPr>
          <w:lang w:val="en-US" w:eastAsia="en-US"/>
        </w:rPr>
        <w:t>has</w:t>
      </w:r>
      <w:r>
        <w:rPr>
          <w:lang w:val="en-US" w:eastAsia="en-US"/>
        </w:rPr>
        <w:t xml:space="preserve"> to buy products </w:t>
      </w:r>
      <w:r>
        <w:rPr>
          <w:lang w:val="en-US" w:eastAsia="en-US"/>
        </w:rPr>
        <w:lastRenderedPageBreak/>
        <w:t xml:space="preserve">directly from suppliers or make arrangements of procurement and distribution with one of the retail groups. Historically, suppliers handled the distribution of products to the retailers, but this function is now assumed by the retail groups. Thus, the groups themselves handle the distribution of products from supplier to wholesaler, and from wholesaler to retailer. </w:t>
      </w:r>
      <w:r w:rsidRPr="00576D15">
        <w:rPr>
          <w:lang w:val="en-US" w:eastAsia="en-US"/>
        </w:rPr>
        <w:t xml:space="preserve">This </w:t>
      </w:r>
      <w:r>
        <w:rPr>
          <w:lang w:val="en-US" w:eastAsia="en-US"/>
        </w:rPr>
        <w:t xml:space="preserve">vertical </w:t>
      </w:r>
      <w:r w:rsidRPr="00576D15">
        <w:rPr>
          <w:lang w:val="en-US" w:eastAsia="en-US"/>
        </w:rPr>
        <w:t xml:space="preserve">structure </w:t>
      </w:r>
      <w:r w:rsidR="00FE497A">
        <w:rPr>
          <w:lang w:val="en-US" w:eastAsia="en-US"/>
        </w:rPr>
        <w:t>has</w:t>
      </w:r>
      <w:r w:rsidRPr="00576D15">
        <w:rPr>
          <w:lang w:val="en-US" w:eastAsia="en-US"/>
        </w:rPr>
        <w:t xml:space="preserve"> contributed to reducing consumer prices, increasing food quality, and improved access to fresh products</w:t>
      </w:r>
      <w:r>
        <w:rPr>
          <w:lang w:val="en-US" w:eastAsia="en-US"/>
        </w:rPr>
        <w:t xml:space="preserve"> </w:t>
      </w:r>
      <w:r>
        <w:rPr>
          <w:noProof/>
          <w:lang w:val="en-US" w:eastAsia="en-US"/>
        </w:rPr>
        <w:t>(Gabrielsen, Steen, Sørgard, &amp; Vagstad, 2013)</w:t>
      </w:r>
      <w:r>
        <w:rPr>
          <w:lang w:val="en-US" w:eastAsia="en-US"/>
        </w:rPr>
        <w:t xml:space="preserve">. </w:t>
      </w:r>
    </w:p>
    <w:p w14:paraId="1F2878B5" w14:textId="77777777" w:rsidR="00934EFA" w:rsidRDefault="00934EFA" w:rsidP="009A340C">
      <w:pPr>
        <w:spacing w:line="276" w:lineRule="auto"/>
        <w:rPr>
          <w:lang w:val="en-US" w:eastAsia="en-US"/>
        </w:rPr>
      </w:pPr>
    </w:p>
    <w:p w14:paraId="6EAB72A5" w14:textId="03D283F3" w:rsidR="00934EFA" w:rsidRDefault="00934EFA" w:rsidP="009A340C">
      <w:pPr>
        <w:spacing w:line="276" w:lineRule="auto"/>
        <w:rPr>
          <w:lang w:val="en-US" w:eastAsia="en-US"/>
        </w:rPr>
      </w:pPr>
      <w:r w:rsidRPr="00576D15">
        <w:rPr>
          <w:lang w:val="en-US" w:eastAsia="en-US"/>
        </w:rPr>
        <w:t xml:space="preserve">The supplier level </w:t>
      </w:r>
      <w:r>
        <w:rPr>
          <w:lang w:val="en-US" w:eastAsia="en-US"/>
        </w:rPr>
        <w:t>has</w:t>
      </w:r>
      <w:r w:rsidRPr="00576D15">
        <w:rPr>
          <w:lang w:val="en-US" w:eastAsia="en-US"/>
        </w:rPr>
        <w:t xml:space="preserve"> also </w:t>
      </w:r>
      <w:r>
        <w:rPr>
          <w:lang w:val="en-US" w:eastAsia="en-US"/>
        </w:rPr>
        <w:t>witnessed increased competition, particularly from the retail groups as these have increasingly stepped into the production and processing level through their own brands and products. Consequently, retail groups</w:t>
      </w:r>
      <w:r w:rsidRPr="00576D15">
        <w:rPr>
          <w:lang w:val="en-US" w:eastAsia="en-US"/>
        </w:rPr>
        <w:t xml:space="preserve"> exert high control over suppliers, for example by threatening to remove supplier products from their assortment or by leveraging their own products in an attempt to reduce procurement prices </w:t>
      </w:r>
      <w:r w:rsidRPr="00576D15">
        <w:rPr>
          <w:noProof/>
          <w:lang w:val="en-US" w:eastAsia="en-US"/>
        </w:rPr>
        <w:t>(NOU, 2011)</w:t>
      </w:r>
      <w:r w:rsidRPr="00576D15">
        <w:rPr>
          <w:lang w:val="en-US" w:eastAsia="en-US"/>
        </w:rPr>
        <w:t xml:space="preserve">. In 2013, governmental suggestions were put forth, outlining </w:t>
      </w:r>
      <w:r>
        <w:rPr>
          <w:lang w:val="en-US" w:eastAsia="en-US"/>
        </w:rPr>
        <w:t>additional</w:t>
      </w:r>
      <w:r w:rsidRPr="00576D15">
        <w:rPr>
          <w:lang w:val="en-US" w:eastAsia="en-US"/>
        </w:rPr>
        <w:t xml:space="preserve"> regulations as well as implementing a grocery controller board to enforce these regulations in order to increase the efficiency and trust between suppliers and </w:t>
      </w:r>
      <w:r>
        <w:rPr>
          <w:lang w:val="en-US" w:eastAsia="en-US"/>
        </w:rPr>
        <w:t>retail groups</w:t>
      </w:r>
      <w:r w:rsidRPr="00576D15">
        <w:rPr>
          <w:lang w:val="en-US" w:eastAsia="en-US"/>
        </w:rPr>
        <w:t xml:space="preserve"> </w:t>
      </w:r>
      <w:r w:rsidRPr="00576D15">
        <w:rPr>
          <w:noProof/>
          <w:lang w:val="en-US" w:eastAsia="en-US"/>
        </w:rPr>
        <w:t>(NOU, 2013)</w:t>
      </w:r>
      <w:r w:rsidRPr="00576D15">
        <w:rPr>
          <w:lang w:val="en-US" w:eastAsia="en-US"/>
        </w:rPr>
        <w:t xml:space="preserve">. </w:t>
      </w:r>
    </w:p>
    <w:p w14:paraId="4EEB9F91" w14:textId="3E4A238B" w:rsidR="001903AB" w:rsidRPr="00576D15" w:rsidRDefault="001903AB" w:rsidP="009A340C">
      <w:pPr>
        <w:spacing w:line="276" w:lineRule="auto"/>
        <w:rPr>
          <w:lang w:val="en-US" w:eastAsia="en-US"/>
        </w:rPr>
      </w:pPr>
    </w:p>
    <w:p w14:paraId="15D64074" w14:textId="77777777" w:rsidR="00934EFA" w:rsidRPr="0055193B" w:rsidRDefault="00934EFA" w:rsidP="009A340C">
      <w:pPr>
        <w:pStyle w:val="Overskrift2"/>
        <w:spacing w:before="0" w:line="276" w:lineRule="auto"/>
        <w:rPr>
          <w:rFonts w:ascii="Times New Roman" w:hAnsi="Times New Roman" w:cs="Times New Roman"/>
          <w:b/>
          <w:color w:val="auto"/>
          <w:sz w:val="28"/>
          <w:szCs w:val="28"/>
          <w:lang w:val="en-US" w:eastAsia="en-US"/>
        </w:rPr>
      </w:pPr>
      <w:r w:rsidRPr="0055193B">
        <w:rPr>
          <w:rFonts w:ascii="Times New Roman" w:hAnsi="Times New Roman" w:cs="Times New Roman"/>
          <w:b/>
          <w:color w:val="auto"/>
          <w:sz w:val="28"/>
          <w:szCs w:val="28"/>
          <w:lang w:val="en-US" w:eastAsia="en-US"/>
        </w:rPr>
        <w:t>Store concentration</w:t>
      </w:r>
    </w:p>
    <w:p w14:paraId="57734FB2" w14:textId="03F3B546" w:rsidR="00934EFA" w:rsidRPr="00F50CF7" w:rsidRDefault="00934EFA" w:rsidP="009A340C">
      <w:pPr>
        <w:spacing w:line="276" w:lineRule="auto"/>
        <w:rPr>
          <w:lang w:val="en-US" w:eastAsia="en-US"/>
        </w:rPr>
      </w:pPr>
      <w:r w:rsidRPr="00576D15">
        <w:rPr>
          <w:lang w:val="en-US" w:eastAsia="en-US"/>
        </w:rPr>
        <w:t xml:space="preserve">The number of food </w:t>
      </w:r>
      <w:r>
        <w:rPr>
          <w:lang w:val="en-US" w:eastAsia="en-US"/>
        </w:rPr>
        <w:t>stores</w:t>
      </w:r>
      <w:r w:rsidRPr="00576D15">
        <w:rPr>
          <w:lang w:val="en-US" w:eastAsia="en-US"/>
        </w:rPr>
        <w:t xml:space="preserve"> </w:t>
      </w:r>
      <w:r>
        <w:rPr>
          <w:lang w:val="en-US" w:eastAsia="en-US"/>
        </w:rPr>
        <w:t>has</w:t>
      </w:r>
      <w:r w:rsidRPr="00576D15">
        <w:rPr>
          <w:lang w:val="en-US" w:eastAsia="en-US"/>
        </w:rPr>
        <w:t xml:space="preserve"> been drastically reduced since the 1980s </w:t>
      </w:r>
      <w:r w:rsidRPr="00576D15">
        <w:rPr>
          <w:noProof/>
          <w:lang w:val="en-US" w:eastAsia="en-US"/>
        </w:rPr>
        <w:t>(Jacobsen &amp; Dulsrud, 1994)</w:t>
      </w:r>
      <w:r w:rsidRPr="00576D15">
        <w:rPr>
          <w:lang w:val="en-US" w:eastAsia="en-US"/>
        </w:rPr>
        <w:t xml:space="preserve">, and </w:t>
      </w:r>
      <w:r>
        <w:rPr>
          <w:lang w:val="en-US" w:eastAsia="en-US"/>
        </w:rPr>
        <w:t xml:space="preserve">continue to decrease as of 2018 </w:t>
      </w:r>
      <w:r>
        <w:rPr>
          <w:noProof/>
          <w:lang w:val="en-US" w:eastAsia="en-US"/>
        </w:rPr>
        <w:t>(Nielsen, 2018b)</w:t>
      </w:r>
      <w:r>
        <w:rPr>
          <w:lang w:val="en-US" w:eastAsia="en-US"/>
        </w:rPr>
        <w:t xml:space="preserve">. </w:t>
      </w:r>
      <w:r w:rsidRPr="00576D15">
        <w:rPr>
          <w:lang w:val="en-US" w:eastAsia="en-US"/>
        </w:rPr>
        <w:t xml:space="preserve">In </w:t>
      </w:r>
      <w:r w:rsidR="00DE071E" w:rsidRPr="00576D15">
        <w:rPr>
          <w:lang w:val="en-US" w:eastAsia="en-US"/>
        </w:rPr>
        <w:t>1982,</w:t>
      </w:r>
      <w:r w:rsidRPr="00576D15">
        <w:rPr>
          <w:lang w:val="en-US" w:eastAsia="en-US"/>
        </w:rPr>
        <w:t xml:space="preserve"> there </w:t>
      </w:r>
      <w:r>
        <w:rPr>
          <w:lang w:val="en-US" w:eastAsia="en-US"/>
        </w:rPr>
        <w:t>were</w:t>
      </w:r>
      <w:r w:rsidRPr="00576D15">
        <w:rPr>
          <w:lang w:val="en-US" w:eastAsia="en-US"/>
        </w:rPr>
        <w:t xml:space="preserve"> approximately 8000 food stores, while in 1993 this number was reduced to well below 6000 </w:t>
      </w:r>
      <w:r w:rsidRPr="00576D15">
        <w:rPr>
          <w:noProof/>
          <w:lang w:val="en-US" w:eastAsia="en-US"/>
        </w:rPr>
        <w:t>(Jacobsen &amp; Dulsrud, 1994)</w:t>
      </w:r>
      <w:r w:rsidRPr="00576D15">
        <w:rPr>
          <w:lang w:val="en-US" w:eastAsia="en-US"/>
        </w:rPr>
        <w:t xml:space="preserve">. </w:t>
      </w:r>
      <w:r>
        <w:rPr>
          <w:lang w:val="en-US" w:eastAsia="en-US"/>
        </w:rPr>
        <w:t>As of 2016, t</w:t>
      </w:r>
      <w:r w:rsidRPr="00576D15">
        <w:rPr>
          <w:lang w:val="en-US" w:eastAsia="en-US"/>
        </w:rPr>
        <w:t xml:space="preserve">here </w:t>
      </w:r>
      <w:r w:rsidR="00727880">
        <w:rPr>
          <w:lang w:val="en-US" w:eastAsia="en-US"/>
        </w:rPr>
        <w:t>are</w:t>
      </w:r>
      <w:r>
        <w:rPr>
          <w:lang w:val="en-US" w:eastAsia="en-US"/>
        </w:rPr>
        <w:t xml:space="preserve"> only 3814</w:t>
      </w:r>
      <w:r w:rsidRPr="00576D15">
        <w:rPr>
          <w:lang w:val="en-US" w:eastAsia="en-US"/>
        </w:rPr>
        <w:t xml:space="preserve"> </w:t>
      </w:r>
      <w:r>
        <w:rPr>
          <w:lang w:val="en-US" w:eastAsia="en-US"/>
        </w:rPr>
        <w:t xml:space="preserve">food stores in Norway </w:t>
      </w:r>
      <w:r>
        <w:rPr>
          <w:noProof/>
          <w:lang w:val="en-US" w:eastAsia="en-US"/>
        </w:rPr>
        <w:t>(Oslo Economics, 2017)</w:t>
      </w:r>
      <w:r w:rsidRPr="00576D15">
        <w:rPr>
          <w:lang w:val="en-US" w:eastAsia="en-US"/>
        </w:rPr>
        <w:t xml:space="preserve">. </w:t>
      </w:r>
      <w:r>
        <w:rPr>
          <w:lang w:val="en-US" w:eastAsia="en-US"/>
        </w:rPr>
        <w:t>During the 90’s, t</w:t>
      </w:r>
      <w:r w:rsidRPr="00576D15">
        <w:rPr>
          <w:lang w:val="en-US" w:eastAsia="en-US"/>
        </w:rPr>
        <w:t>his reduction mostly affected smaller food</w:t>
      </w:r>
      <w:r>
        <w:rPr>
          <w:lang w:val="en-US" w:eastAsia="en-US"/>
        </w:rPr>
        <w:t xml:space="preserve"> stores</w:t>
      </w:r>
      <w:r w:rsidRPr="00576D15">
        <w:rPr>
          <w:lang w:val="en-US" w:eastAsia="en-US"/>
        </w:rPr>
        <w:t>, while the number of larger stores actually</w:t>
      </w:r>
      <w:r>
        <w:rPr>
          <w:lang w:val="en-US" w:eastAsia="en-US"/>
        </w:rPr>
        <w:t xml:space="preserve"> experienced a slight increase</w:t>
      </w:r>
      <w:r w:rsidRPr="00576D15">
        <w:rPr>
          <w:lang w:val="en-US" w:eastAsia="en-US"/>
        </w:rPr>
        <w:t xml:space="preserve">. </w:t>
      </w:r>
      <w:r>
        <w:rPr>
          <w:lang w:val="en-US" w:eastAsia="en-US"/>
        </w:rPr>
        <w:t xml:space="preserve">Today, the average size of Norwegian food stores is 677 square feet </w:t>
      </w:r>
      <w:r>
        <w:rPr>
          <w:noProof/>
          <w:lang w:val="en-US" w:eastAsia="en-US"/>
        </w:rPr>
        <w:t>(Oslo Economics, 2017)</w:t>
      </w:r>
      <w:r>
        <w:rPr>
          <w:lang w:val="en-US" w:eastAsia="en-US"/>
        </w:rPr>
        <w:t>. Recent development</w:t>
      </w:r>
      <w:r w:rsidR="00FE497A">
        <w:rPr>
          <w:lang w:val="en-US" w:eastAsia="en-US"/>
        </w:rPr>
        <w:t>s</w:t>
      </w:r>
      <w:r>
        <w:rPr>
          <w:lang w:val="en-US" w:eastAsia="en-US"/>
        </w:rPr>
        <w:t xml:space="preserve"> have witnessed an increase in the number of low-cost stores relative to local stores, and super- and hypermarkets. </w:t>
      </w:r>
    </w:p>
    <w:p w14:paraId="7DC54A49" w14:textId="77777777" w:rsidR="00934EFA" w:rsidRDefault="00934EFA" w:rsidP="009A340C">
      <w:pPr>
        <w:spacing w:line="276" w:lineRule="auto"/>
        <w:rPr>
          <w:lang w:val="en-US" w:eastAsia="en-US"/>
        </w:rPr>
      </w:pPr>
    </w:p>
    <w:p w14:paraId="14BFBE92" w14:textId="77777777" w:rsidR="00934EFA" w:rsidRPr="00F50CF7" w:rsidRDefault="00934EFA" w:rsidP="009A340C">
      <w:pPr>
        <w:spacing w:line="276" w:lineRule="auto"/>
        <w:rPr>
          <w:lang w:val="en-US" w:eastAsia="en-US"/>
        </w:rPr>
      </w:pPr>
    </w:p>
    <w:p w14:paraId="1AFE97D2" w14:textId="77777777" w:rsidR="00934EFA" w:rsidRPr="002E7465" w:rsidRDefault="00934EFA" w:rsidP="009A340C">
      <w:pPr>
        <w:pStyle w:val="Overskrift1"/>
        <w:spacing w:before="0" w:line="276" w:lineRule="auto"/>
        <w:rPr>
          <w:rFonts w:ascii="Times New Roman" w:hAnsi="Times New Roman" w:cs="Times New Roman"/>
          <w:color w:val="auto"/>
          <w:lang w:val="en-US" w:eastAsia="en-US"/>
        </w:rPr>
      </w:pPr>
      <w:r w:rsidRPr="002E7465">
        <w:rPr>
          <w:rFonts w:ascii="Times New Roman" w:hAnsi="Times New Roman" w:cs="Times New Roman"/>
          <w:color w:val="auto"/>
          <w:lang w:val="en-US" w:eastAsia="en-US"/>
        </w:rPr>
        <w:t>Consumer behavior and food consumption</w:t>
      </w:r>
      <w:r>
        <w:rPr>
          <w:rFonts w:ascii="Times New Roman" w:hAnsi="Times New Roman" w:cs="Times New Roman"/>
          <w:color w:val="auto"/>
          <w:lang w:val="en-US" w:eastAsia="en-US"/>
        </w:rPr>
        <w:t xml:space="preserve"> patterns</w:t>
      </w:r>
      <w:r w:rsidRPr="002E7465">
        <w:rPr>
          <w:rFonts w:ascii="Times New Roman" w:hAnsi="Times New Roman" w:cs="Times New Roman"/>
          <w:color w:val="auto"/>
          <w:lang w:val="en-US" w:eastAsia="en-US"/>
        </w:rPr>
        <w:t>: The demand side</w:t>
      </w:r>
    </w:p>
    <w:p w14:paraId="1C80EE66" w14:textId="77777777" w:rsidR="00274B43" w:rsidRDefault="00274B43" w:rsidP="009A340C">
      <w:pPr>
        <w:pStyle w:val="Overskrift2"/>
        <w:spacing w:before="0" w:line="276" w:lineRule="auto"/>
        <w:rPr>
          <w:rFonts w:ascii="Times New Roman" w:hAnsi="Times New Roman" w:cs="Times New Roman"/>
          <w:b/>
          <w:color w:val="auto"/>
          <w:sz w:val="28"/>
          <w:szCs w:val="28"/>
          <w:lang w:val="en-US" w:eastAsia="en-US"/>
        </w:rPr>
      </w:pPr>
    </w:p>
    <w:p w14:paraId="34131048" w14:textId="59293271" w:rsidR="00934EFA" w:rsidRPr="0055193B" w:rsidRDefault="00934EFA" w:rsidP="009A340C">
      <w:pPr>
        <w:pStyle w:val="Overskrift2"/>
        <w:spacing w:before="0" w:line="276" w:lineRule="auto"/>
        <w:rPr>
          <w:rFonts w:ascii="Times New Roman" w:hAnsi="Times New Roman" w:cs="Times New Roman"/>
          <w:b/>
          <w:color w:val="auto"/>
          <w:sz w:val="28"/>
          <w:szCs w:val="28"/>
          <w:lang w:val="en-US" w:eastAsia="en-US"/>
        </w:rPr>
      </w:pPr>
      <w:r w:rsidRPr="0055193B">
        <w:rPr>
          <w:rFonts w:ascii="Times New Roman" w:hAnsi="Times New Roman" w:cs="Times New Roman"/>
          <w:b/>
          <w:color w:val="auto"/>
          <w:sz w:val="28"/>
          <w:szCs w:val="28"/>
          <w:lang w:val="en-US" w:eastAsia="en-US"/>
        </w:rPr>
        <w:t>Shopping patterns</w:t>
      </w:r>
    </w:p>
    <w:p w14:paraId="5A646E73" w14:textId="262D8B39" w:rsidR="00934EFA" w:rsidRDefault="00934EFA" w:rsidP="009A340C">
      <w:pPr>
        <w:spacing w:line="276" w:lineRule="auto"/>
        <w:rPr>
          <w:lang w:val="en-US" w:eastAsia="en-US"/>
        </w:rPr>
      </w:pPr>
      <w:r>
        <w:rPr>
          <w:lang w:val="en-US" w:eastAsia="en-US"/>
        </w:rPr>
        <w:t xml:space="preserve">Norwegian consumers are among the most frequent food shoppers globally, as they on average shop 3.4 times a week </w:t>
      </w:r>
      <w:r>
        <w:rPr>
          <w:noProof/>
          <w:lang w:val="en-US" w:eastAsia="en-US"/>
        </w:rPr>
        <w:t>(Nielsen, 2016b)</w:t>
      </w:r>
      <w:r>
        <w:rPr>
          <w:lang w:val="en-US" w:eastAsia="en-US"/>
        </w:rPr>
        <w:t>. Some also use different stores depending</w:t>
      </w:r>
      <w:r w:rsidR="00DE071E">
        <w:rPr>
          <w:lang w:val="en-US" w:eastAsia="en-US"/>
        </w:rPr>
        <w:t xml:space="preserve"> on the time of the week. One </w:t>
      </w:r>
      <w:r w:rsidR="004C521D">
        <w:rPr>
          <w:lang w:val="en-US" w:eastAsia="en-US"/>
        </w:rPr>
        <w:t xml:space="preserve">third of </w:t>
      </w:r>
      <w:r>
        <w:rPr>
          <w:lang w:val="en-US" w:eastAsia="en-US"/>
        </w:rPr>
        <w:t xml:space="preserve">consumers in 2013 said they used different stores when they shop for “everyday” food items compared to “weekend” food items </w:t>
      </w:r>
      <w:r>
        <w:rPr>
          <w:noProof/>
          <w:lang w:val="en-US" w:eastAsia="en-US"/>
        </w:rPr>
        <w:t>(Forbrukerrådet, 2013)</w:t>
      </w:r>
      <w:r>
        <w:rPr>
          <w:lang w:val="en-US" w:eastAsia="en-US"/>
        </w:rPr>
        <w:t xml:space="preserve">. Furthermore, Norwegians are increasingly engaging in border shopping, i.e., travelling to neighboring countries to shop food at more affordable prices. In 2017, such border shopping amounted to 15.1 billion NOK, which is a growth of about 9% compared to 2016 </w:t>
      </w:r>
      <w:r>
        <w:rPr>
          <w:noProof/>
          <w:lang w:val="en-US" w:eastAsia="en-US"/>
        </w:rPr>
        <w:t>(Nielsen, 2018a)</w:t>
      </w:r>
      <w:r>
        <w:rPr>
          <w:lang w:val="en-US" w:eastAsia="en-US"/>
        </w:rPr>
        <w:t>.</w:t>
      </w:r>
    </w:p>
    <w:p w14:paraId="59EE18E1" w14:textId="77777777" w:rsidR="00934EFA" w:rsidRDefault="00934EFA" w:rsidP="009A340C">
      <w:pPr>
        <w:spacing w:line="276" w:lineRule="auto"/>
        <w:rPr>
          <w:lang w:val="en-US" w:eastAsia="en-US"/>
        </w:rPr>
      </w:pPr>
    </w:p>
    <w:p w14:paraId="1E3D472F" w14:textId="5935DD98" w:rsidR="00934EFA" w:rsidRDefault="00934EFA" w:rsidP="009A340C">
      <w:pPr>
        <w:spacing w:line="276" w:lineRule="auto"/>
        <w:rPr>
          <w:lang w:val="en-US" w:eastAsia="en-US"/>
        </w:rPr>
      </w:pPr>
      <w:r>
        <w:rPr>
          <w:lang w:val="en-US" w:eastAsia="en-US"/>
        </w:rPr>
        <w:lastRenderedPageBreak/>
        <w:t xml:space="preserve">In 2016, Norwegian households had a total consumption of 1336 billion NOK – twice as much as in 2001 </w:t>
      </w:r>
      <w:r>
        <w:rPr>
          <w:noProof/>
          <w:lang w:val="en-US" w:eastAsia="en-US"/>
        </w:rPr>
        <w:t>(Virke, 2017)</w:t>
      </w:r>
      <w:r>
        <w:rPr>
          <w:lang w:val="en-US" w:eastAsia="en-US"/>
        </w:rPr>
        <w:t>. The households’ food consumption, however, has stayed relatively stable at around 12% of the total consumption. An average 4-person household consisting of two adults and two children spend approximately 8149 NOK each month on food and beverages. Consumers are generally highly price aware, as over 70% chec</w:t>
      </w:r>
      <w:r w:rsidR="00727880">
        <w:rPr>
          <w:lang w:val="en-US" w:eastAsia="en-US"/>
        </w:rPr>
        <w:t>k the price of food products in-</w:t>
      </w:r>
      <w:r>
        <w:rPr>
          <w:lang w:val="en-US" w:eastAsia="en-US"/>
        </w:rPr>
        <w:t xml:space="preserve">store </w:t>
      </w:r>
      <w:r>
        <w:rPr>
          <w:noProof/>
          <w:lang w:val="en-US" w:eastAsia="en-US"/>
        </w:rPr>
        <w:t>(Virke, 2017)</w:t>
      </w:r>
      <w:r>
        <w:rPr>
          <w:lang w:val="en-US" w:eastAsia="en-US"/>
        </w:rPr>
        <w:t>.</w:t>
      </w:r>
    </w:p>
    <w:p w14:paraId="2FE08894" w14:textId="77777777" w:rsidR="00934EFA" w:rsidRDefault="00934EFA" w:rsidP="009A340C">
      <w:pPr>
        <w:spacing w:line="276" w:lineRule="auto"/>
        <w:rPr>
          <w:lang w:val="en-US" w:eastAsia="en-US"/>
        </w:rPr>
      </w:pPr>
    </w:p>
    <w:p w14:paraId="53E45993" w14:textId="34C93477" w:rsidR="00934EFA" w:rsidRPr="0055193B" w:rsidRDefault="00934EFA" w:rsidP="00076D6A">
      <w:pPr>
        <w:pStyle w:val="Overskrift2"/>
        <w:spacing w:before="0" w:line="276" w:lineRule="auto"/>
        <w:rPr>
          <w:rFonts w:ascii="Times New Roman" w:hAnsi="Times New Roman" w:cs="Times New Roman"/>
          <w:b/>
          <w:color w:val="auto"/>
          <w:sz w:val="28"/>
          <w:szCs w:val="28"/>
          <w:lang w:val="en-US" w:eastAsia="en-US"/>
        </w:rPr>
      </w:pPr>
      <w:r w:rsidRPr="0055193B">
        <w:rPr>
          <w:rFonts w:ascii="Times New Roman" w:hAnsi="Times New Roman" w:cs="Times New Roman"/>
          <w:b/>
          <w:color w:val="auto"/>
          <w:sz w:val="28"/>
          <w:szCs w:val="28"/>
          <w:lang w:val="en-US" w:eastAsia="en-US"/>
        </w:rPr>
        <w:t>Store access</w:t>
      </w:r>
      <w:r w:rsidR="00EB3AAA">
        <w:rPr>
          <w:rFonts w:ascii="Times New Roman" w:hAnsi="Times New Roman" w:cs="Times New Roman"/>
          <w:b/>
          <w:color w:val="auto"/>
          <w:sz w:val="28"/>
          <w:szCs w:val="28"/>
          <w:lang w:val="en-US" w:eastAsia="en-US"/>
        </w:rPr>
        <w:t xml:space="preserve"> and opening hours </w:t>
      </w:r>
    </w:p>
    <w:p w14:paraId="7A4D4500" w14:textId="276C5BA2" w:rsidR="00934EFA" w:rsidRDefault="00743E0B" w:rsidP="009A340C">
      <w:pPr>
        <w:spacing w:line="276" w:lineRule="auto"/>
        <w:rPr>
          <w:lang w:val="en-US" w:eastAsia="en-US"/>
        </w:rPr>
      </w:pPr>
      <w:r>
        <w:rPr>
          <w:lang w:val="en-US" w:eastAsia="en-US"/>
        </w:rPr>
        <w:t xml:space="preserve">Generally, store location and store </w:t>
      </w:r>
      <w:r w:rsidR="00934EFA">
        <w:rPr>
          <w:lang w:val="en-US" w:eastAsia="en-US"/>
        </w:rPr>
        <w:t xml:space="preserve">access are the key factors when consumers determine where they go to shop their food. A majority of consumers in 2013 (76%) named shopping distance as the most important factor of choice of store </w:t>
      </w:r>
      <w:r w:rsidR="00934EFA">
        <w:rPr>
          <w:noProof/>
          <w:lang w:val="en-US" w:eastAsia="en-US"/>
        </w:rPr>
        <w:t>(Forbrukerrådet, 2013)</w:t>
      </w:r>
      <w:r w:rsidR="00934EFA">
        <w:rPr>
          <w:lang w:val="en-US" w:eastAsia="en-US"/>
        </w:rPr>
        <w:t xml:space="preserve">. However, when shopping food for the weekend, consumers where most concerned about product assortment and variety. In terms of store location, </w:t>
      </w:r>
      <w:r w:rsidR="00934EFA" w:rsidRPr="008F55A0">
        <w:rPr>
          <w:i/>
          <w:lang w:val="en-US" w:eastAsia="en-US"/>
        </w:rPr>
        <w:t>Rema</w:t>
      </w:r>
      <w:r w:rsidR="00934EFA">
        <w:rPr>
          <w:lang w:val="en-US" w:eastAsia="en-US"/>
        </w:rPr>
        <w:t xml:space="preserve"> is the most widespread retail chain in Norway in 2016 but consumers experience </w:t>
      </w:r>
      <w:r w:rsidR="00934EFA" w:rsidRPr="008F55A0">
        <w:rPr>
          <w:i/>
          <w:lang w:val="en-US" w:eastAsia="en-US"/>
        </w:rPr>
        <w:t>Coop</w:t>
      </w:r>
      <w:r w:rsidR="00934EFA">
        <w:rPr>
          <w:lang w:val="en-US" w:eastAsia="en-US"/>
        </w:rPr>
        <w:t xml:space="preserve">-chains as closer to where they live. In 2015, there were 0.75 stores per 1000 inhabitants in Norway </w:t>
      </w:r>
      <w:r w:rsidR="00934EFA">
        <w:rPr>
          <w:noProof/>
          <w:lang w:val="en-US" w:eastAsia="en-US"/>
        </w:rPr>
        <w:t>(Dulsrud &amp; Alfnes, 2016)</w:t>
      </w:r>
      <w:r w:rsidR="00934EFA">
        <w:rPr>
          <w:lang w:val="en-US" w:eastAsia="en-US"/>
        </w:rPr>
        <w:t xml:space="preserve">. Norwegian consumers have </w:t>
      </w:r>
      <w:r w:rsidR="003E221B">
        <w:rPr>
          <w:lang w:val="en-US" w:eastAsia="en-US"/>
        </w:rPr>
        <w:t xml:space="preserve">relatively </w:t>
      </w:r>
      <w:r w:rsidR="00934EFA">
        <w:rPr>
          <w:lang w:val="en-US" w:eastAsia="en-US"/>
        </w:rPr>
        <w:t>little retail chain loyalty (likely due to</w:t>
      </w:r>
      <w:r w:rsidR="003E221B">
        <w:rPr>
          <w:lang w:val="en-US" w:eastAsia="en-US"/>
        </w:rPr>
        <w:t xml:space="preserve"> the geographical spread in</w:t>
      </w:r>
      <w:r w:rsidR="00934EFA">
        <w:rPr>
          <w:lang w:val="en-US" w:eastAsia="en-US"/>
        </w:rPr>
        <w:t xml:space="preserve"> store concentration) and shop in average in 3.6 different chains during the course of a month </w:t>
      </w:r>
      <w:r w:rsidR="00934EFA">
        <w:rPr>
          <w:noProof/>
          <w:lang w:val="en-US" w:eastAsia="en-US"/>
        </w:rPr>
        <w:t>(Nielsen, 2016b)</w:t>
      </w:r>
      <w:r w:rsidR="00934EFA">
        <w:rPr>
          <w:lang w:val="en-US" w:eastAsia="en-US"/>
        </w:rPr>
        <w:t>.</w:t>
      </w:r>
      <w:r w:rsidR="00632A2C">
        <w:rPr>
          <w:lang w:val="en-US" w:eastAsia="en-US"/>
        </w:rPr>
        <w:t xml:space="preserve"> </w:t>
      </w:r>
    </w:p>
    <w:p w14:paraId="03041578" w14:textId="64B5AF59" w:rsidR="00EB3AAA" w:rsidRDefault="00EB3AAA" w:rsidP="009A340C">
      <w:pPr>
        <w:spacing w:line="276" w:lineRule="auto"/>
        <w:rPr>
          <w:lang w:val="en-US" w:eastAsia="en-US"/>
        </w:rPr>
      </w:pPr>
    </w:p>
    <w:p w14:paraId="5CDCC63A" w14:textId="7823E119" w:rsidR="00EB3AAA" w:rsidRPr="00574095" w:rsidRDefault="00851D3D" w:rsidP="009A340C">
      <w:pPr>
        <w:spacing w:line="276" w:lineRule="auto"/>
        <w:rPr>
          <w:lang w:val="en-US" w:eastAsia="en-US"/>
        </w:rPr>
      </w:pPr>
      <w:r>
        <w:rPr>
          <w:lang w:val="en-US" w:eastAsia="en-US"/>
        </w:rPr>
        <w:t xml:space="preserve">Store opening hours are likely to </w:t>
      </w:r>
      <w:r w:rsidR="00D47DF3">
        <w:rPr>
          <w:lang w:val="en-US" w:eastAsia="en-US"/>
        </w:rPr>
        <w:t>have an impact on</w:t>
      </w:r>
      <w:r w:rsidRPr="00D271BD">
        <w:rPr>
          <w:lang w:val="en-US" w:eastAsia="en-US"/>
        </w:rPr>
        <w:t xml:space="preserve"> consumer’s food procurement practices as t</w:t>
      </w:r>
      <w:r w:rsidR="00D271BD" w:rsidRPr="00D271BD">
        <w:rPr>
          <w:lang w:val="en-US" w:eastAsia="en-US"/>
        </w:rPr>
        <w:t>hese are restricted</w:t>
      </w:r>
      <w:r w:rsidR="007D6F48">
        <w:rPr>
          <w:lang w:val="en-US" w:eastAsia="en-US"/>
        </w:rPr>
        <w:t xml:space="preserve"> by law </w:t>
      </w:r>
      <w:r w:rsidR="007D6F48" w:rsidRPr="00D271BD">
        <w:rPr>
          <w:lang w:val="en-US" w:eastAsia="en-US"/>
        </w:rPr>
        <w:t>(Lovdata, 2018)</w:t>
      </w:r>
      <w:r w:rsidR="007D6F48">
        <w:rPr>
          <w:lang w:val="en-US" w:eastAsia="en-US"/>
        </w:rPr>
        <w:t>,</w:t>
      </w:r>
      <w:r w:rsidR="00DD139E" w:rsidRPr="00D271BD">
        <w:rPr>
          <w:lang w:val="en-US" w:eastAsia="en-US"/>
        </w:rPr>
        <w:t xml:space="preserve"> </w:t>
      </w:r>
      <w:r w:rsidR="00D47DF3">
        <w:rPr>
          <w:lang w:val="en-US" w:eastAsia="en-US"/>
        </w:rPr>
        <w:t xml:space="preserve">and </w:t>
      </w:r>
      <w:r w:rsidR="00DD139E" w:rsidRPr="00D271BD">
        <w:rPr>
          <w:lang w:val="en-US" w:eastAsia="en-US"/>
        </w:rPr>
        <w:t xml:space="preserve">especially </w:t>
      </w:r>
      <w:r w:rsidR="00D47DF3">
        <w:rPr>
          <w:lang w:val="en-US" w:eastAsia="en-US"/>
        </w:rPr>
        <w:t xml:space="preserve">affect those living </w:t>
      </w:r>
      <w:r w:rsidR="00DD139E" w:rsidRPr="00D271BD">
        <w:rPr>
          <w:lang w:val="en-US" w:eastAsia="en-US"/>
        </w:rPr>
        <w:t>in rural areas</w:t>
      </w:r>
      <w:r w:rsidR="000364EC" w:rsidRPr="00D271BD">
        <w:rPr>
          <w:rStyle w:val="Fotnotereferanse"/>
          <w:lang w:val="en-US" w:eastAsia="en-US"/>
        </w:rPr>
        <w:footnoteReference w:id="2"/>
      </w:r>
      <w:r w:rsidR="007D6F48">
        <w:rPr>
          <w:lang w:val="en-US" w:eastAsia="en-US"/>
        </w:rPr>
        <w:t xml:space="preserve">. </w:t>
      </w:r>
      <w:r w:rsidR="001464A9">
        <w:rPr>
          <w:lang w:val="en-US" w:eastAsia="en-US"/>
        </w:rPr>
        <w:t xml:space="preserve">Few </w:t>
      </w:r>
      <w:r w:rsidR="008514B4">
        <w:rPr>
          <w:lang w:val="en-US" w:eastAsia="en-US"/>
        </w:rPr>
        <w:t>stores are open on Sunday’s, although recent years have</w:t>
      </w:r>
      <w:r w:rsidR="00F17654">
        <w:rPr>
          <w:lang w:val="en-US" w:eastAsia="en-US"/>
        </w:rPr>
        <w:t xml:space="preserve"> seen a development towards a liberalization of opening h</w:t>
      </w:r>
      <w:bookmarkStart w:id="0" w:name="_GoBack"/>
      <w:bookmarkEnd w:id="0"/>
      <w:r w:rsidR="00F17654">
        <w:rPr>
          <w:lang w:val="en-US" w:eastAsia="en-US"/>
        </w:rPr>
        <w:t xml:space="preserve">ours equivalent </w:t>
      </w:r>
      <w:r w:rsidR="00096EBB">
        <w:rPr>
          <w:lang w:val="en-US" w:eastAsia="en-US"/>
        </w:rPr>
        <w:t xml:space="preserve">to </w:t>
      </w:r>
      <w:r w:rsidR="00F17654">
        <w:rPr>
          <w:lang w:val="en-US" w:eastAsia="en-US"/>
        </w:rPr>
        <w:t>other European countries (</w:t>
      </w:r>
      <w:r w:rsidR="0011355C">
        <w:rPr>
          <w:lang w:val="en-US" w:eastAsia="en-US"/>
        </w:rPr>
        <w:t>NOU, 2017</w:t>
      </w:r>
      <w:r w:rsidR="00F17654">
        <w:rPr>
          <w:lang w:val="en-US" w:eastAsia="en-US"/>
        </w:rPr>
        <w:t>)</w:t>
      </w:r>
      <w:r w:rsidR="008514B4">
        <w:rPr>
          <w:lang w:val="en-US" w:eastAsia="en-US"/>
        </w:rPr>
        <w:t>.</w:t>
      </w:r>
      <w:r>
        <w:rPr>
          <w:lang w:val="en-US" w:eastAsia="en-US"/>
        </w:rPr>
        <w:t xml:space="preserve"> </w:t>
      </w:r>
      <w:r w:rsidR="008744EA">
        <w:rPr>
          <w:lang w:val="en-US" w:eastAsia="en-US"/>
        </w:rPr>
        <w:t>In addition to most being closed on Sunday’s, stores also close early on Saturday’s</w:t>
      </w:r>
      <w:r w:rsidR="00D271BD">
        <w:rPr>
          <w:lang w:val="en-US" w:eastAsia="en-US"/>
        </w:rPr>
        <w:t>, and have significantly restricted opening hours during national holidays</w:t>
      </w:r>
      <w:r w:rsidR="001F61BF">
        <w:rPr>
          <w:lang w:val="en-US" w:eastAsia="en-US"/>
        </w:rPr>
        <w:t xml:space="preserve"> (Lovdata, 2018)</w:t>
      </w:r>
      <w:r w:rsidR="008744EA">
        <w:rPr>
          <w:lang w:val="en-US" w:eastAsia="en-US"/>
        </w:rPr>
        <w:t xml:space="preserve">. These limited opening hours might </w:t>
      </w:r>
      <w:r w:rsidR="00403655">
        <w:rPr>
          <w:lang w:val="en-US" w:eastAsia="en-US"/>
        </w:rPr>
        <w:t xml:space="preserve">facilitate the establishment of an alternative food market by </w:t>
      </w:r>
      <w:r w:rsidR="008744EA">
        <w:rPr>
          <w:lang w:val="en-US" w:eastAsia="en-US"/>
        </w:rPr>
        <w:t>i</w:t>
      </w:r>
      <w:r w:rsidR="00403655">
        <w:rPr>
          <w:lang w:val="en-US" w:eastAsia="en-US"/>
        </w:rPr>
        <w:t>ncreasing</w:t>
      </w:r>
      <w:r w:rsidR="008744EA">
        <w:rPr>
          <w:lang w:val="en-US" w:eastAsia="en-US"/>
        </w:rPr>
        <w:t xml:space="preserve"> demand for </w:t>
      </w:r>
      <w:r w:rsidR="00403655">
        <w:rPr>
          <w:lang w:val="en-US" w:eastAsia="en-US"/>
        </w:rPr>
        <w:t>digital</w:t>
      </w:r>
      <w:r w:rsidR="008744EA">
        <w:rPr>
          <w:lang w:val="en-US" w:eastAsia="en-US"/>
        </w:rPr>
        <w:t xml:space="preserve"> services</w:t>
      </w:r>
      <w:r w:rsidR="00711532">
        <w:rPr>
          <w:lang w:val="en-US" w:eastAsia="en-US"/>
        </w:rPr>
        <w:t xml:space="preserve"> such as </w:t>
      </w:r>
      <w:r w:rsidR="00711532" w:rsidRPr="00D64FDA">
        <w:rPr>
          <w:i/>
          <w:lang w:val="en-US" w:eastAsia="en-US"/>
        </w:rPr>
        <w:t>Foodora</w:t>
      </w:r>
      <w:r w:rsidR="008744EA">
        <w:rPr>
          <w:lang w:val="en-US" w:eastAsia="en-US"/>
        </w:rPr>
        <w:t xml:space="preserve"> that can deliver food </w:t>
      </w:r>
      <w:r w:rsidR="009312AB">
        <w:rPr>
          <w:lang w:val="en-US" w:eastAsia="en-US"/>
        </w:rPr>
        <w:t xml:space="preserve">quickly and </w:t>
      </w:r>
      <w:r w:rsidR="008744EA">
        <w:rPr>
          <w:lang w:val="en-US" w:eastAsia="en-US"/>
        </w:rPr>
        <w:t>outside traditional hours</w:t>
      </w:r>
      <w:r w:rsidR="009312AB">
        <w:rPr>
          <w:lang w:val="en-US" w:eastAsia="en-US"/>
        </w:rPr>
        <w:t xml:space="preserve"> (i.e., Saturday’s, Sunday’s, and evenings).</w:t>
      </w:r>
      <w:r w:rsidR="00DD139E">
        <w:rPr>
          <w:lang w:val="en-US" w:eastAsia="en-US"/>
        </w:rPr>
        <w:t xml:space="preserve"> </w:t>
      </w:r>
    </w:p>
    <w:p w14:paraId="015D00B9" w14:textId="14FD7FA8" w:rsidR="00934EFA" w:rsidRPr="00574095" w:rsidRDefault="00934EFA" w:rsidP="009A340C">
      <w:pPr>
        <w:spacing w:line="276" w:lineRule="auto"/>
        <w:rPr>
          <w:lang w:val="en-US" w:eastAsia="en-US"/>
        </w:rPr>
      </w:pPr>
    </w:p>
    <w:p w14:paraId="67F16616" w14:textId="77777777" w:rsidR="00934EFA" w:rsidRPr="0055193B" w:rsidRDefault="00934EFA" w:rsidP="009A340C">
      <w:pPr>
        <w:pStyle w:val="Overskrift2"/>
        <w:spacing w:before="0" w:line="276" w:lineRule="auto"/>
        <w:rPr>
          <w:rFonts w:ascii="Times New Roman" w:hAnsi="Times New Roman" w:cs="Times New Roman"/>
          <w:b/>
          <w:color w:val="auto"/>
          <w:sz w:val="28"/>
          <w:szCs w:val="28"/>
          <w:lang w:val="en-US" w:eastAsia="en-US"/>
        </w:rPr>
      </w:pPr>
      <w:r w:rsidRPr="0055193B">
        <w:rPr>
          <w:rFonts w:ascii="Times New Roman" w:hAnsi="Times New Roman" w:cs="Times New Roman"/>
          <w:b/>
          <w:color w:val="auto"/>
          <w:sz w:val="28"/>
          <w:szCs w:val="28"/>
          <w:lang w:val="en-US" w:eastAsia="en-US"/>
        </w:rPr>
        <w:t>Food consumption</w:t>
      </w:r>
    </w:p>
    <w:p w14:paraId="09F5188F" w14:textId="5F3B31AE" w:rsidR="007E0EC7" w:rsidRDefault="007E0EC7" w:rsidP="00973DF3">
      <w:pPr>
        <w:spacing w:line="276" w:lineRule="auto"/>
        <w:rPr>
          <w:lang w:val="en-US" w:eastAsia="en-US"/>
        </w:rPr>
      </w:pPr>
      <w:r>
        <w:rPr>
          <w:lang w:val="en-US" w:eastAsia="en-US"/>
        </w:rPr>
        <w:t xml:space="preserve">Two recent nationwide consumer surveys reveals some insights into the majority’s food practices. In 2018, 65% of Norwegians eat breakfast at home every day. 25% say they skip this meal, while 16% eat their breakfast </w:t>
      </w:r>
      <w:r w:rsidR="00EB7056">
        <w:rPr>
          <w:lang w:val="en-US" w:eastAsia="en-US"/>
        </w:rPr>
        <w:t>on-the-go</w:t>
      </w:r>
      <w:r>
        <w:rPr>
          <w:lang w:val="en-US" w:eastAsia="en-US"/>
        </w:rPr>
        <w:t xml:space="preserve"> twice or more a week </w:t>
      </w:r>
      <w:r>
        <w:rPr>
          <w:noProof/>
          <w:lang w:val="en-US" w:eastAsia="en-US"/>
        </w:rPr>
        <w:t>(Ipsos, 2018)</w:t>
      </w:r>
      <w:r>
        <w:rPr>
          <w:lang w:val="en-US" w:eastAsia="en-US"/>
        </w:rPr>
        <w:t>. According to a country representative diary study (</w:t>
      </w:r>
      <w:r w:rsidRPr="003D54D3">
        <w:rPr>
          <w:i/>
          <w:lang w:val="en-US" w:eastAsia="en-US"/>
        </w:rPr>
        <w:t>N</w:t>
      </w:r>
      <w:r>
        <w:rPr>
          <w:lang w:val="en-US" w:eastAsia="en-US"/>
        </w:rPr>
        <w:t xml:space="preserve">=1302) conducted among Norwegians in 2017, pizza is the most common meal for dinner as it is consumed by 50% of consumers at least once during a week </w:t>
      </w:r>
      <w:r>
        <w:rPr>
          <w:noProof/>
          <w:lang w:val="en-US" w:eastAsia="en-US"/>
        </w:rPr>
        <w:t>(Ipsos, 2017)</w:t>
      </w:r>
      <w:r>
        <w:rPr>
          <w:lang w:val="en-US" w:eastAsia="en-US"/>
        </w:rPr>
        <w:t>.</w:t>
      </w:r>
      <w:r w:rsidR="00153433">
        <w:rPr>
          <w:lang w:val="en-US" w:eastAsia="en-US"/>
        </w:rPr>
        <w:t xml:space="preserve"> </w:t>
      </w:r>
    </w:p>
    <w:p w14:paraId="306CA42B" w14:textId="77777777" w:rsidR="007E0EC7" w:rsidRDefault="007E0EC7" w:rsidP="00973DF3">
      <w:pPr>
        <w:spacing w:line="276" w:lineRule="auto"/>
        <w:rPr>
          <w:lang w:val="en-US" w:eastAsia="en-US"/>
        </w:rPr>
      </w:pPr>
    </w:p>
    <w:p w14:paraId="4D088A75" w14:textId="0BA9D35F" w:rsidR="00153433" w:rsidRDefault="006638D8" w:rsidP="00153433">
      <w:pPr>
        <w:spacing w:line="276" w:lineRule="auto"/>
        <w:rPr>
          <w:lang w:val="en-US" w:eastAsia="en-US"/>
        </w:rPr>
      </w:pPr>
      <w:r>
        <w:rPr>
          <w:lang w:val="en-US" w:eastAsia="en-US"/>
        </w:rPr>
        <w:t>P</w:t>
      </w:r>
      <w:r w:rsidR="00934EFA">
        <w:rPr>
          <w:lang w:val="en-US" w:eastAsia="en-US"/>
        </w:rPr>
        <w:t>roducts distributed through the food chain come from national</w:t>
      </w:r>
      <w:r>
        <w:rPr>
          <w:lang w:val="en-US" w:eastAsia="en-US"/>
        </w:rPr>
        <w:t xml:space="preserve"> production (approx. 50% in 2017)</w:t>
      </w:r>
      <w:r w:rsidR="00934EFA">
        <w:rPr>
          <w:lang w:val="en-US" w:eastAsia="en-US"/>
        </w:rPr>
        <w:t xml:space="preserve"> and</w:t>
      </w:r>
      <w:r>
        <w:rPr>
          <w:lang w:val="en-US" w:eastAsia="en-US"/>
        </w:rPr>
        <w:t xml:space="preserve"> imported</w:t>
      </w:r>
      <w:r w:rsidR="00934EFA">
        <w:rPr>
          <w:lang w:val="en-US" w:eastAsia="en-US"/>
        </w:rPr>
        <w:t xml:space="preserve"> international brands</w:t>
      </w:r>
      <w:r>
        <w:rPr>
          <w:lang w:val="en-US" w:eastAsia="en-US"/>
        </w:rPr>
        <w:t xml:space="preserve"> (</w:t>
      </w:r>
      <w:r w:rsidR="00385985" w:rsidRPr="007E0EC7">
        <w:rPr>
          <w:lang w:val="en-US"/>
        </w:rPr>
        <w:t>Norwegian Directorate of Health</w:t>
      </w:r>
      <w:r w:rsidR="00D12721">
        <w:rPr>
          <w:lang w:val="en-US" w:eastAsia="en-US"/>
        </w:rPr>
        <w:t>, 2018</w:t>
      </w:r>
      <w:r>
        <w:rPr>
          <w:lang w:val="en-US" w:eastAsia="en-US"/>
        </w:rPr>
        <w:t>)</w:t>
      </w:r>
      <w:r w:rsidR="00934EFA">
        <w:rPr>
          <w:lang w:val="en-US" w:eastAsia="en-US"/>
        </w:rPr>
        <w:t xml:space="preserve">. The average consumer shops food through the traditional distribution channel and is not especially </w:t>
      </w:r>
      <w:r w:rsidR="00934EFA">
        <w:rPr>
          <w:lang w:val="en-US" w:eastAsia="en-US"/>
        </w:rPr>
        <w:lastRenderedPageBreak/>
        <w:t>conscious when it comes to making food choices in-store. Norwegians are typically highly trusting towards the government and expert systems</w:t>
      </w:r>
      <w:r w:rsidR="00665815">
        <w:rPr>
          <w:lang w:val="en-US" w:eastAsia="en-US"/>
        </w:rPr>
        <w:t xml:space="preserve"> relating to food</w:t>
      </w:r>
      <w:r w:rsidR="0066185D">
        <w:rPr>
          <w:lang w:val="en-US" w:eastAsia="en-US"/>
        </w:rPr>
        <w:t xml:space="preserve"> (see for example </w:t>
      </w:r>
      <w:r w:rsidR="00665815">
        <w:rPr>
          <w:lang w:val="en-US" w:eastAsia="en-US"/>
        </w:rPr>
        <w:t>Torjusen, 2004</w:t>
      </w:r>
      <w:r w:rsidR="0066185D">
        <w:rPr>
          <w:lang w:val="en-US" w:eastAsia="en-US"/>
        </w:rPr>
        <w:t>)</w:t>
      </w:r>
      <w:r w:rsidR="00934EFA">
        <w:rPr>
          <w:lang w:val="en-US" w:eastAsia="en-US"/>
        </w:rPr>
        <w:t xml:space="preserve"> and tend to believe that most products are safely and locally produced. Interest in healthy foods is </w:t>
      </w:r>
      <w:r w:rsidR="00153433">
        <w:rPr>
          <w:lang w:val="en-US" w:eastAsia="en-US"/>
        </w:rPr>
        <w:t xml:space="preserve">however </w:t>
      </w:r>
      <w:r w:rsidR="00934EFA">
        <w:rPr>
          <w:lang w:val="en-US" w:eastAsia="en-US"/>
        </w:rPr>
        <w:t>growing and is currently at an all-time high, as 63% of Norwegians</w:t>
      </w:r>
      <w:r w:rsidR="00C42934">
        <w:rPr>
          <w:lang w:val="en-US" w:eastAsia="en-US"/>
        </w:rPr>
        <w:t>, according to a nationwide consumer survey,</w:t>
      </w:r>
      <w:r w:rsidR="00934EFA">
        <w:rPr>
          <w:lang w:val="en-US" w:eastAsia="en-US"/>
        </w:rPr>
        <w:t xml:space="preserve"> say they are very or extremely interested in healthy food </w:t>
      </w:r>
      <w:r w:rsidR="00934EFA">
        <w:rPr>
          <w:noProof/>
          <w:lang w:val="en-US" w:eastAsia="en-US"/>
        </w:rPr>
        <w:t>(Ipsos, 2018)</w:t>
      </w:r>
      <w:r w:rsidR="00934EFA">
        <w:rPr>
          <w:lang w:val="en-US" w:eastAsia="en-US"/>
        </w:rPr>
        <w:t xml:space="preserve">. </w:t>
      </w:r>
      <w:r w:rsidR="00153433">
        <w:rPr>
          <w:lang w:val="en-US" w:eastAsia="en-US"/>
        </w:rPr>
        <w:t>According to another national, representative survey on Norwegian food practices, consumers want grocery stores and eating places to focus more on sustainable, healthy, ethical, authentic, and high quality food alternative</w:t>
      </w:r>
      <w:r w:rsidR="00153433" w:rsidRPr="007A071F">
        <w:rPr>
          <w:lang w:val="en-US" w:eastAsia="en-US"/>
        </w:rPr>
        <w:t>s (Bugge, 2015).</w:t>
      </w:r>
      <w:r w:rsidR="00153433">
        <w:rPr>
          <w:lang w:val="en-US" w:eastAsia="en-US"/>
        </w:rPr>
        <w:t xml:space="preserve"> </w:t>
      </w:r>
    </w:p>
    <w:p w14:paraId="4F9A416E" w14:textId="77777777" w:rsidR="00153433" w:rsidRDefault="00153433" w:rsidP="00973DF3">
      <w:pPr>
        <w:spacing w:line="276" w:lineRule="auto"/>
        <w:rPr>
          <w:lang w:val="en-US" w:eastAsia="en-US"/>
        </w:rPr>
      </w:pPr>
    </w:p>
    <w:p w14:paraId="32E652A1" w14:textId="50E68C95" w:rsidR="00934EFA" w:rsidRDefault="00934EFA" w:rsidP="00973DF3">
      <w:pPr>
        <w:spacing w:line="276" w:lineRule="auto"/>
        <w:rPr>
          <w:lang w:val="en-US" w:eastAsia="en-US"/>
        </w:rPr>
      </w:pPr>
      <w:r>
        <w:rPr>
          <w:lang w:val="en-US" w:eastAsia="en-US"/>
        </w:rPr>
        <w:t xml:space="preserve">Generally, the majority of consumers focus on taste, nutrition, and price </w:t>
      </w:r>
      <w:r w:rsidR="006638D8">
        <w:rPr>
          <w:lang w:val="en-US" w:eastAsia="en-US"/>
        </w:rPr>
        <w:t>(</w:t>
      </w:r>
      <w:r w:rsidR="00EA3EB4">
        <w:rPr>
          <w:lang w:val="en-US" w:eastAsia="en-US"/>
        </w:rPr>
        <w:t>Ipsos, 2018</w:t>
      </w:r>
      <w:r w:rsidR="006638D8">
        <w:rPr>
          <w:lang w:val="en-US" w:eastAsia="en-US"/>
        </w:rPr>
        <w:t>)</w:t>
      </w:r>
      <w:r>
        <w:rPr>
          <w:lang w:val="en-US" w:eastAsia="en-US"/>
        </w:rPr>
        <w:t>. A small minority of consumers are concerned with food products focusing on animal welfare, organic production, sustainability, and fair trade</w:t>
      </w:r>
      <w:r w:rsidR="008A5AC5">
        <w:rPr>
          <w:lang w:val="en-US" w:eastAsia="en-US"/>
        </w:rPr>
        <w:t>.</w:t>
      </w:r>
      <w:r>
        <w:rPr>
          <w:lang w:val="en-US" w:eastAsia="en-US"/>
        </w:rPr>
        <w:t xml:space="preserve"> As an example, only 1.8% of food sold in stores are organic </w:t>
      </w:r>
      <w:r w:rsidR="005B3881">
        <w:rPr>
          <w:lang w:val="en-US" w:eastAsia="en-US"/>
        </w:rPr>
        <w:t>(Norwegian Agriculture Agency, 2017</w:t>
      </w:r>
      <w:r w:rsidR="00153433">
        <w:rPr>
          <w:lang w:val="en-US" w:eastAsia="en-US"/>
        </w:rPr>
        <w:t xml:space="preserve">; </w:t>
      </w:r>
      <w:r w:rsidR="00153433">
        <w:rPr>
          <w:noProof/>
          <w:lang w:val="en-US" w:eastAsia="en-US"/>
        </w:rPr>
        <w:t>Virke, 2017</w:t>
      </w:r>
      <w:r w:rsidR="005B3881">
        <w:rPr>
          <w:lang w:val="en-US" w:eastAsia="en-US"/>
        </w:rPr>
        <w:t>).</w:t>
      </w:r>
    </w:p>
    <w:p w14:paraId="48FCBA5D" w14:textId="77777777" w:rsidR="00934EFA" w:rsidRDefault="00934EFA" w:rsidP="00946F68">
      <w:pPr>
        <w:spacing w:line="276" w:lineRule="auto"/>
        <w:rPr>
          <w:lang w:val="en-US" w:eastAsia="en-US"/>
        </w:rPr>
      </w:pPr>
    </w:p>
    <w:p w14:paraId="1553B35F" w14:textId="47683A5A" w:rsidR="00934EFA" w:rsidRDefault="00934EFA" w:rsidP="00946F68">
      <w:pPr>
        <w:spacing w:line="276" w:lineRule="auto"/>
        <w:rPr>
          <w:lang w:val="en-US" w:eastAsia="en-US"/>
        </w:rPr>
      </w:pPr>
      <w:r w:rsidRPr="00C552E1">
        <w:rPr>
          <w:lang w:val="en-US" w:eastAsia="en-US"/>
        </w:rPr>
        <w:t>When it comes to the niche market of organic and short-travelled food, consumers</w:t>
      </w:r>
      <w:r>
        <w:rPr>
          <w:lang w:val="en-US" w:eastAsia="en-US"/>
        </w:rPr>
        <w:t xml:space="preserve"> say these aspects are most important when it comes to milk, seafood, meat, vegetables, and fruit </w:t>
      </w:r>
      <w:r>
        <w:rPr>
          <w:noProof/>
          <w:lang w:val="en-US" w:eastAsia="en-US"/>
        </w:rPr>
        <w:t>(Nielsen, 2016a)</w:t>
      </w:r>
      <w:r>
        <w:rPr>
          <w:lang w:val="en-US" w:eastAsia="en-US"/>
        </w:rPr>
        <w:t xml:space="preserve">. Sales from organic food produced in Norway increased with over 24% in 2016, comprising almost 2.5 billion. </w:t>
      </w:r>
    </w:p>
    <w:p w14:paraId="0C9E7F34" w14:textId="77777777" w:rsidR="00934EFA" w:rsidRDefault="00934EFA" w:rsidP="00946F68">
      <w:pPr>
        <w:spacing w:line="276" w:lineRule="auto"/>
        <w:rPr>
          <w:lang w:val="en-US" w:eastAsia="en-US"/>
        </w:rPr>
      </w:pPr>
    </w:p>
    <w:p w14:paraId="3782A437" w14:textId="77777777" w:rsidR="00934EFA" w:rsidRDefault="00934EFA" w:rsidP="009A340C">
      <w:pPr>
        <w:spacing w:line="276" w:lineRule="auto"/>
        <w:rPr>
          <w:lang w:val="en-US" w:eastAsia="en-US"/>
        </w:rPr>
      </w:pPr>
      <w:r>
        <w:rPr>
          <w:lang w:val="en-US" w:eastAsia="en-US"/>
        </w:rPr>
        <w:t xml:space="preserve">Albeit still a very small niche market, vegetarianism is growing among Norwegian consumers. A national representative survey conducted among approximately 4000 Norwegian consumers in 2018 found that 24% want to eat less </w:t>
      </w:r>
      <w:r w:rsidRPr="005D490C">
        <w:rPr>
          <w:lang w:val="en-US" w:eastAsia="en-US"/>
        </w:rPr>
        <w:t xml:space="preserve">meat </w:t>
      </w:r>
      <w:r w:rsidRPr="005D490C">
        <w:rPr>
          <w:noProof/>
          <w:lang w:val="en-US" w:eastAsia="en-US"/>
        </w:rPr>
        <w:t>(Ipsos, 2018)</w:t>
      </w:r>
      <w:r>
        <w:rPr>
          <w:lang w:val="en-US" w:eastAsia="en-US"/>
        </w:rPr>
        <w:t xml:space="preserve"> and a minority are cutting out meat altogether. The most common reasons for this development are due to consumers’ concern for animal welfare, sustainability issues, and health aspects. There is also a generational effect to this development, as a larger share of younger consumers (15-34 years) than older generations (over 35) are willing to eat vegetarian. In 2018, meat replacement products stood for a turnover of 125 billion NOK </w:t>
      </w:r>
      <w:r>
        <w:rPr>
          <w:noProof/>
          <w:lang w:val="en-US" w:eastAsia="en-US"/>
        </w:rPr>
        <w:t>(Virke, 2017)</w:t>
      </w:r>
      <w:r>
        <w:rPr>
          <w:lang w:val="en-US" w:eastAsia="en-US"/>
        </w:rPr>
        <w:t xml:space="preserve">. This vegetarian consumption trend is also reflected in store assortment. Two years ago, all available meat replacement products were frozen, while today fresh products comprise around 45% of turnover. </w:t>
      </w:r>
    </w:p>
    <w:p w14:paraId="29E29FE8" w14:textId="77777777" w:rsidR="00934EFA" w:rsidRDefault="00934EFA" w:rsidP="009A340C">
      <w:pPr>
        <w:spacing w:line="276" w:lineRule="auto"/>
        <w:rPr>
          <w:lang w:val="en-US" w:eastAsia="en-US"/>
        </w:rPr>
      </w:pPr>
    </w:p>
    <w:p w14:paraId="761D5D85" w14:textId="77777777" w:rsidR="00934EFA" w:rsidRDefault="00934EFA" w:rsidP="009A340C">
      <w:pPr>
        <w:spacing w:line="276" w:lineRule="auto"/>
        <w:rPr>
          <w:lang w:val="en-US" w:eastAsia="en-US"/>
        </w:rPr>
      </w:pPr>
      <w:r>
        <w:rPr>
          <w:lang w:val="en-US" w:eastAsia="en-US"/>
        </w:rPr>
        <w:t xml:space="preserve">Yet another niche market among Norwegian consumers relates to dietary restrictions. 22% of consumers in 2017 chose to adjust their diet due to allergies or food intolerances (e.g., gluten, lactose). This is an increase of 8% from 2005 </w:t>
      </w:r>
      <w:r>
        <w:rPr>
          <w:noProof/>
          <w:lang w:val="en-US" w:eastAsia="en-US"/>
        </w:rPr>
        <w:t>(Ipsos, 2018)</w:t>
      </w:r>
      <w:r>
        <w:rPr>
          <w:lang w:val="en-US" w:eastAsia="en-US"/>
        </w:rPr>
        <w:t xml:space="preserve">. Half of consumers feel that the assortment available in traditional retail stores covers their dietary needs </w:t>
      </w:r>
      <w:r>
        <w:rPr>
          <w:noProof/>
          <w:lang w:val="en-US" w:eastAsia="en-US"/>
        </w:rPr>
        <w:t>(Virke, 2017)</w:t>
      </w:r>
      <w:r>
        <w:rPr>
          <w:lang w:val="en-US" w:eastAsia="en-US"/>
        </w:rPr>
        <w:t xml:space="preserve">. Although very small, the aforementioned niche markets are witnessing a steady increase and are especially salient in online shopping and alternative food networks. </w:t>
      </w:r>
    </w:p>
    <w:p w14:paraId="5F99BA24" w14:textId="77777777" w:rsidR="00934EFA" w:rsidRDefault="00934EFA" w:rsidP="00C00EEF">
      <w:pPr>
        <w:spacing w:line="276" w:lineRule="auto"/>
        <w:rPr>
          <w:lang w:val="en-US" w:eastAsia="en-US"/>
        </w:rPr>
      </w:pPr>
    </w:p>
    <w:p w14:paraId="30156E8A" w14:textId="77777777" w:rsidR="000F47E6" w:rsidRPr="00975C4F" w:rsidRDefault="000F47E6" w:rsidP="000F47E6">
      <w:pPr>
        <w:pStyle w:val="Overskrift2"/>
        <w:rPr>
          <w:rFonts w:ascii="Times New Roman" w:hAnsi="Times New Roman" w:cs="Times New Roman"/>
          <w:b/>
          <w:color w:val="auto"/>
          <w:sz w:val="28"/>
          <w:szCs w:val="28"/>
          <w:lang w:val="en-US" w:eastAsia="en-US"/>
        </w:rPr>
      </w:pPr>
      <w:r w:rsidRPr="00975C4F">
        <w:rPr>
          <w:rFonts w:ascii="Times New Roman" w:hAnsi="Times New Roman" w:cs="Times New Roman"/>
          <w:b/>
          <w:color w:val="auto"/>
          <w:sz w:val="28"/>
          <w:szCs w:val="28"/>
          <w:lang w:val="en-US" w:eastAsia="en-US"/>
        </w:rPr>
        <w:t>Diagonal integration</w:t>
      </w:r>
    </w:p>
    <w:p w14:paraId="413E7DF9" w14:textId="77777777" w:rsidR="000F47E6" w:rsidRPr="00A956A5" w:rsidRDefault="000F47E6" w:rsidP="000F47E6">
      <w:pPr>
        <w:spacing w:line="276" w:lineRule="auto"/>
        <w:rPr>
          <w:lang w:val="en-US"/>
        </w:rPr>
      </w:pPr>
      <w:r w:rsidRPr="00A956A5">
        <w:rPr>
          <w:lang w:val="en-US" w:eastAsia="en-US"/>
        </w:rPr>
        <w:t>Enterprises across both profit and non-profit sectors are increasingly employing technologically enabled platforms to achieve more consumer-oriented services</w:t>
      </w:r>
      <w:r>
        <w:rPr>
          <w:lang w:val="en-US" w:eastAsia="en-US"/>
        </w:rPr>
        <w:t>, such as the examples mentioned above</w:t>
      </w:r>
      <w:r w:rsidRPr="00A956A5">
        <w:rPr>
          <w:lang w:val="en-US" w:eastAsia="en-US"/>
        </w:rPr>
        <w:t xml:space="preserve">. There is </w:t>
      </w:r>
      <w:r w:rsidRPr="002961F8">
        <w:rPr>
          <w:lang w:val="en-US" w:eastAsia="en-US"/>
        </w:rPr>
        <w:t xml:space="preserve">differentiation </w:t>
      </w:r>
      <w:r w:rsidRPr="002961F8">
        <w:rPr>
          <w:lang w:val="en-US"/>
        </w:rPr>
        <w:t xml:space="preserve">between internal and external platforms </w:t>
      </w:r>
      <w:r w:rsidRPr="002961F8">
        <w:rPr>
          <w:lang w:val="en-US"/>
        </w:rPr>
        <w:lastRenderedPageBreak/>
        <w:t>and how these may affect innovation (Gawer &amp; Cusumano, 2014). Internal supply-chain platforms involve enterprises following clearly defined “guidelines to supply intermediate products or components to the platform owner” (Gawer &amp; Cusumano, 2014:419). External platforms, however, open up to the possibility that apps of external enterprises can provide complementary innovations, induce network effects and that the platform owner does not determine the product or service in advance. This lead to high prospective possibilities for innovative efforts in complementary technological products and services (Gawer &amp; Cusumano, 2014). Such platforms are typically referred to as two-sided or multi-sided within business literature</w:t>
      </w:r>
      <w:r w:rsidRPr="00A956A5">
        <w:rPr>
          <w:lang w:val="en-US"/>
        </w:rPr>
        <w:t xml:space="preserve">. Digital platforms represents intermediation combining three distinct layers; () a network or community layer combining platform participants and their relationship, (2) an infrastructure layer made up of software tools, rules, </w:t>
      </w:r>
      <w:r w:rsidRPr="000050A9">
        <w:rPr>
          <w:lang w:val="en-US"/>
        </w:rPr>
        <w:t>apps, and services, and (3) a data layer allowing the platform to try matching supply and demand (Choudary, 2015).</w:t>
      </w:r>
      <w:r w:rsidRPr="00A956A5">
        <w:rPr>
          <w:lang w:val="en-US"/>
        </w:rPr>
        <w:t xml:space="preserve"> </w:t>
      </w:r>
    </w:p>
    <w:p w14:paraId="2786D69D" w14:textId="77777777" w:rsidR="00934EFA" w:rsidRPr="00576D15" w:rsidRDefault="00934EFA" w:rsidP="009A340C">
      <w:pPr>
        <w:spacing w:line="276" w:lineRule="auto"/>
        <w:rPr>
          <w:b/>
          <w:lang w:val="en-US" w:eastAsia="en-US"/>
        </w:rPr>
      </w:pPr>
    </w:p>
    <w:p w14:paraId="7AE40F36" w14:textId="77777777" w:rsidR="00934EFA" w:rsidRPr="002E7465" w:rsidRDefault="00934EFA" w:rsidP="00B03AAA">
      <w:pPr>
        <w:pStyle w:val="Overskrift1"/>
        <w:spacing w:before="0" w:line="276" w:lineRule="auto"/>
        <w:rPr>
          <w:rFonts w:ascii="Times New Roman" w:hAnsi="Times New Roman" w:cs="Times New Roman"/>
          <w:color w:val="auto"/>
          <w:lang w:val="en-GB"/>
        </w:rPr>
      </w:pPr>
      <w:r>
        <w:rPr>
          <w:rFonts w:ascii="Times New Roman" w:hAnsi="Times New Roman" w:cs="Times New Roman"/>
          <w:color w:val="auto"/>
          <w:lang w:val="en-GB"/>
        </w:rPr>
        <w:t>Online shopping and alternative food networks</w:t>
      </w:r>
    </w:p>
    <w:p w14:paraId="32D4DD79" w14:textId="78B97529" w:rsidR="000F47E6" w:rsidRDefault="000F47E6" w:rsidP="009A7F07">
      <w:pPr>
        <w:spacing w:line="276" w:lineRule="auto"/>
        <w:rPr>
          <w:lang w:val="en-US" w:eastAsia="en-US"/>
        </w:rPr>
      </w:pPr>
    </w:p>
    <w:p w14:paraId="4380D6F3" w14:textId="734AA164" w:rsidR="00B96BEF" w:rsidRPr="00F84F26" w:rsidRDefault="00F84F26" w:rsidP="009A7F07">
      <w:pPr>
        <w:pStyle w:val="Rentekst"/>
        <w:spacing w:line="276" w:lineRule="auto"/>
        <w:rPr>
          <w:rFonts w:ascii="Times New Roman" w:hAnsi="Times New Roman" w:cs="Times New Roman"/>
          <w:sz w:val="24"/>
          <w:szCs w:val="24"/>
          <w:lang w:val="en-US"/>
        </w:rPr>
      </w:pPr>
      <w:r w:rsidRPr="00DF3343">
        <w:rPr>
          <w:rFonts w:ascii="Times New Roman" w:hAnsi="Times New Roman" w:cs="Times New Roman"/>
          <w:sz w:val="24"/>
          <w:szCs w:val="24"/>
          <w:lang w:val="en-US"/>
        </w:rPr>
        <w:t xml:space="preserve">The emergence of </w:t>
      </w:r>
      <w:r>
        <w:rPr>
          <w:rFonts w:ascii="Times New Roman" w:hAnsi="Times New Roman" w:cs="Times New Roman"/>
          <w:sz w:val="24"/>
          <w:szCs w:val="24"/>
          <w:lang w:val="en-US"/>
        </w:rPr>
        <w:t xml:space="preserve">the </w:t>
      </w:r>
      <w:r w:rsidRPr="00DF3343">
        <w:rPr>
          <w:rFonts w:ascii="Times New Roman" w:hAnsi="Times New Roman" w:cs="Times New Roman"/>
          <w:sz w:val="24"/>
          <w:szCs w:val="24"/>
          <w:lang w:val="en-US"/>
        </w:rPr>
        <w:t>platform economy as a specific type of market organization challeng</w:t>
      </w:r>
      <w:r>
        <w:rPr>
          <w:rFonts w:ascii="Times New Roman" w:hAnsi="Times New Roman" w:cs="Times New Roman"/>
          <w:sz w:val="24"/>
          <w:szCs w:val="24"/>
          <w:lang w:val="en-US"/>
        </w:rPr>
        <w:t>es</w:t>
      </w:r>
      <w:r w:rsidRPr="00DF3343">
        <w:rPr>
          <w:rFonts w:ascii="Times New Roman" w:hAnsi="Times New Roman" w:cs="Times New Roman"/>
          <w:sz w:val="24"/>
          <w:szCs w:val="24"/>
          <w:lang w:val="en-US"/>
        </w:rPr>
        <w:t xml:space="preserve"> </w:t>
      </w:r>
      <w:r>
        <w:rPr>
          <w:rFonts w:ascii="Times New Roman" w:hAnsi="Times New Roman" w:cs="Times New Roman"/>
          <w:sz w:val="24"/>
          <w:szCs w:val="24"/>
          <w:lang w:val="en-US"/>
        </w:rPr>
        <w:t>the conventional Norwegian food market</w:t>
      </w:r>
      <w:r w:rsidRPr="00DF3343">
        <w:rPr>
          <w:rFonts w:ascii="Times New Roman" w:hAnsi="Times New Roman" w:cs="Times New Roman"/>
          <w:sz w:val="24"/>
          <w:szCs w:val="24"/>
          <w:lang w:val="en-US"/>
        </w:rPr>
        <w:t xml:space="preserve"> governed by supermarket chains and agro-food </w:t>
      </w:r>
      <w:r w:rsidRPr="00F84F26">
        <w:rPr>
          <w:rFonts w:ascii="Times New Roman" w:hAnsi="Times New Roman" w:cs="Times New Roman"/>
          <w:sz w:val="24"/>
          <w:szCs w:val="24"/>
          <w:lang w:val="en-US"/>
        </w:rPr>
        <w:t xml:space="preserve">businesses. This is done by connecting suppliers and consumers in new and innovative modes of provision through digital platforms and includes both business-driven and consumer-driven platforms. </w:t>
      </w:r>
      <w:r w:rsidR="00934EFA" w:rsidRPr="00F84F26">
        <w:rPr>
          <w:rFonts w:ascii="Times New Roman" w:hAnsi="Times New Roman" w:cs="Times New Roman"/>
          <w:sz w:val="24"/>
          <w:szCs w:val="24"/>
          <w:lang w:val="en-US"/>
        </w:rPr>
        <w:t xml:space="preserve">There are currently several ongoing digital innovations offering an alternative to the traditional food market. Compared to large-scale retail chains, alternative food networks are differently organized markets that intend to facilitate sustainable food production and offer healthy food alternatives to consumers. The </w:t>
      </w:r>
      <w:r w:rsidR="006F2675" w:rsidRPr="00F84F26">
        <w:rPr>
          <w:rFonts w:ascii="Times New Roman" w:hAnsi="Times New Roman" w:cs="Times New Roman"/>
          <w:sz w:val="24"/>
          <w:szCs w:val="24"/>
          <w:lang w:val="en-US"/>
        </w:rPr>
        <w:t>aim</w:t>
      </w:r>
      <w:r w:rsidR="00934EFA" w:rsidRPr="00F84F26">
        <w:rPr>
          <w:rFonts w:ascii="Times New Roman" w:hAnsi="Times New Roman" w:cs="Times New Roman"/>
          <w:sz w:val="24"/>
          <w:szCs w:val="24"/>
          <w:lang w:val="en-US"/>
        </w:rPr>
        <w:t xml:space="preserve"> is</w:t>
      </w:r>
      <w:r w:rsidR="008B51B1">
        <w:rPr>
          <w:rFonts w:ascii="Times New Roman" w:hAnsi="Times New Roman" w:cs="Times New Roman"/>
          <w:sz w:val="24"/>
          <w:szCs w:val="24"/>
          <w:lang w:val="en-US"/>
        </w:rPr>
        <w:t xml:space="preserve"> thus</w:t>
      </w:r>
      <w:r w:rsidR="00934EFA" w:rsidRPr="00F84F26">
        <w:rPr>
          <w:rFonts w:ascii="Times New Roman" w:hAnsi="Times New Roman" w:cs="Times New Roman"/>
          <w:sz w:val="24"/>
          <w:szCs w:val="24"/>
          <w:lang w:val="en-US"/>
        </w:rPr>
        <w:t xml:space="preserve"> to create a different type of market, one that </w:t>
      </w:r>
      <w:r w:rsidR="003300A3" w:rsidRPr="00F84F26">
        <w:rPr>
          <w:rFonts w:ascii="Times New Roman" w:hAnsi="Times New Roman" w:cs="Times New Roman"/>
          <w:sz w:val="24"/>
          <w:szCs w:val="24"/>
          <w:lang w:val="en-US"/>
        </w:rPr>
        <w:t>encourages</w:t>
      </w:r>
      <w:r w:rsidR="00934EFA" w:rsidRPr="00F84F26">
        <w:rPr>
          <w:rFonts w:ascii="Times New Roman" w:hAnsi="Times New Roman" w:cs="Times New Roman"/>
          <w:sz w:val="24"/>
          <w:szCs w:val="24"/>
          <w:lang w:val="en-US"/>
        </w:rPr>
        <w:t xml:space="preserve"> </w:t>
      </w:r>
      <w:r w:rsidR="006472FC" w:rsidRPr="00F84F26">
        <w:rPr>
          <w:rFonts w:ascii="Times New Roman" w:hAnsi="Times New Roman" w:cs="Times New Roman"/>
          <w:sz w:val="24"/>
          <w:szCs w:val="24"/>
          <w:lang w:val="en-US"/>
        </w:rPr>
        <w:t xml:space="preserve">a closer </w:t>
      </w:r>
      <w:r w:rsidR="00934EFA" w:rsidRPr="00F84F26">
        <w:rPr>
          <w:rFonts w:ascii="Times New Roman" w:hAnsi="Times New Roman" w:cs="Times New Roman"/>
          <w:sz w:val="24"/>
          <w:szCs w:val="24"/>
          <w:lang w:val="en-US"/>
        </w:rPr>
        <w:t>interaction between consumers and producers</w:t>
      </w:r>
      <w:r w:rsidR="00C40A03">
        <w:rPr>
          <w:rFonts w:ascii="Times New Roman" w:hAnsi="Times New Roman" w:cs="Times New Roman"/>
          <w:sz w:val="24"/>
          <w:szCs w:val="24"/>
          <w:lang w:val="en-US"/>
        </w:rPr>
        <w:t xml:space="preserve"> and, as a result, facilitate</w:t>
      </w:r>
      <w:r w:rsidR="006472FC" w:rsidRPr="00F84F26">
        <w:rPr>
          <w:rFonts w:ascii="Times New Roman" w:hAnsi="Times New Roman" w:cs="Times New Roman"/>
          <w:sz w:val="24"/>
          <w:szCs w:val="24"/>
          <w:lang w:val="en-US"/>
        </w:rPr>
        <w:t xml:space="preserve"> knowledge exchange between </w:t>
      </w:r>
      <w:r w:rsidR="006472FC" w:rsidRPr="002005BC">
        <w:rPr>
          <w:rFonts w:ascii="Times New Roman" w:hAnsi="Times New Roman" w:cs="Times New Roman"/>
          <w:sz w:val="24"/>
          <w:szCs w:val="24"/>
          <w:lang w:val="en-US"/>
        </w:rPr>
        <w:t>the two</w:t>
      </w:r>
      <w:r w:rsidR="00934EFA" w:rsidRPr="002005BC">
        <w:rPr>
          <w:rFonts w:ascii="Times New Roman" w:hAnsi="Times New Roman" w:cs="Times New Roman"/>
          <w:sz w:val="24"/>
          <w:szCs w:val="24"/>
          <w:lang w:val="en-US"/>
        </w:rPr>
        <w:t xml:space="preserve"> (Hv</w:t>
      </w:r>
      <w:r w:rsidR="00555ADB" w:rsidRPr="002005BC">
        <w:rPr>
          <w:rFonts w:ascii="Times New Roman" w:hAnsi="Times New Roman" w:cs="Times New Roman"/>
          <w:sz w:val="24"/>
          <w:szCs w:val="24"/>
          <w:lang w:val="en-US"/>
        </w:rPr>
        <w:t>itsand, 2016</w:t>
      </w:r>
      <w:r w:rsidR="00934EFA" w:rsidRPr="002005BC">
        <w:rPr>
          <w:rFonts w:ascii="Times New Roman" w:hAnsi="Times New Roman" w:cs="Times New Roman"/>
          <w:sz w:val="24"/>
          <w:szCs w:val="24"/>
          <w:lang w:val="en-US"/>
        </w:rPr>
        <w:t>)</w:t>
      </w:r>
      <w:r w:rsidR="002073E2" w:rsidRPr="002005BC">
        <w:rPr>
          <w:rFonts w:ascii="Times New Roman" w:hAnsi="Times New Roman" w:cs="Times New Roman"/>
          <w:sz w:val="24"/>
          <w:szCs w:val="24"/>
          <w:lang w:val="en-US"/>
        </w:rPr>
        <w:t>.</w:t>
      </w:r>
      <w:r w:rsidR="009A79C5" w:rsidRPr="00F84F26">
        <w:rPr>
          <w:rFonts w:ascii="Times New Roman" w:hAnsi="Times New Roman" w:cs="Times New Roman"/>
          <w:sz w:val="24"/>
          <w:szCs w:val="24"/>
          <w:lang w:val="en-US"/>
        </w:rPr>
        <w:t xml:space="preserve"> Examples of establishment efforts in Norway are food provision platforms such as food box schemes delivering organic and local food (e.g., </w:t>
      </w:r>
      <w:r w:rsidR="009A79C5" w:rsidRPr="00324914">
        <w:rPr>
          <w:rFonts w:ascii="Times New Roman" w:hAnsi="Times New Roman" w:cs="Times New Roman"/>
          <w:i/>
          <w:sz w:val="24"/>
          <w:szCs w:val="24"/>
          <w:lang w:val="en-US"/>
        </w:rPr>
        <w:t>NettMat, Proviant</w:t>
      </w:r>
      <w:r w:rsidR="009A79C5" w:rsidRPr="00F84F26">
        <w:rPr>
          <w:rFonts w:ascii="Times New Roman" w:hAnsi="Times New Roman" w:cs="Times New Roman"/>
          <w:sz w:val="24"/>
          <w:szCs w:val="24"/>
          <w:lang w:val="en-US"/>
        </w:rPr>
        <w:t xml:space="preserve">), informal food networks in social media forums (e.g., </w:t>
      </w:r>
      <w:r w:rsidR="009A79C5" w:rsidRPr="00324914">
        <w:rPr>
          <w:rFonts w:ascii="Times New Roman" w:hAnsi="Times New Roman" w:cs="Times New Roman"/>
          <w:i/>
          <w:sz w:val="24"/>
          <w:szCs w:val="24"/>
          <w:lang w:val="en-US"/>
        </w:rPr>
        <w:t>REKO-ring</w:t>
      </w:r>
      <w:r w:rsidR="009A79C5" w:rsidRPr="00F84F26">
        <w:rPr>
          <w:rFonts w:ascii="Times New Roman" w:hAnsi="Times New Roman" w:cs="Times New Roman"/>
          <w:sz w:val="24"/>
          <w:szCs w:val="24"/>
          <w:lang w:val="en-US"/>
        </w:rPr>
        <w:t xml:space="preserve">), and online supermarkets (e.g., </w:t>
      </w:r>
      <w:r w:rsidR="00F61E11" w:rsidRPr="00324914">
        <w:rPr>
          <w:rFonts w:ascii="Times New Roman" w:hAnsi="Times New Roman" w:cs="Times New Roman"/>
          <w:i/>
          <w:sz w:val="24"/>
          <w:szCs w:val="24"/>
          <w:lang w:val="en-US"/>
        </w:rPr>
        <w:t>Kolonial.no</w:t>
      </w:r>
      <w:r w:rsidR="00F61E11">
        <w:rPr>
          <w:rFonts w:ascii="Times New Roman" w:hAnsi="Times New Roman" w:cs="Times New Roman"/>
          <w:i/>
          <w:sz w:val="24"/>
          <w:szCs w:val="24"/>
          <w:lang w:val="en-US"/>
        </w:rPr>
        <w:t>,</w:t>
      </w:r>
      <w:r w:rsidR="00F61E11" w:rsidRPr="00324914">
        <w:rPr>
          <w:rFonts w:ascii="Times New Roman" w:hAnsi="Times New Roman" w:cs="Times New Roman"/>
          <w:i/>
          <w:sz w:val="24"/>
          <w:szCs w:val="24"/>
          <w:lang w:val="en-US"/>
        </w:rPr>
        <w:t xml:space="preserve"> </w:t>
      </w:r>
      <w:r w:rsidR="009A79C5" w:rsidRPr="00324914">
        <w:rPr>
          <w:rFonts w:ascii="Times New Roman" w:hAnsi="Times New Roman" w:cs="Times New Roman"/>
          <w:i/>
          <w:sz w:val="24"/>
          <w:szCs w:val="24"/>
          <w:lang w:val="en-US"/>
        </w:rPr>
        <w:t>Dagligvareexpressen.no</w:t>
      </w:r>
      <w:r w:rsidR="009A79C5" w:rsidRPr="00F84F26">
        <w:rPr>
          <w:rFonts w:ascii="Times New Roman" w:hAnsi="Times New Roman" w:cs="Times New Roman"/>
          <w:sz w:val="24"/>
          <w:szCs w:val="24"/>
          <w:lang w:val="en-US"/>
        </w:rPr>
        <w:t>).</w:t>
      </w:r>
      <w:r w:rsidR="00B96BEF" w:rsidRPr="00F84F26">
        <w:rPr>
          <w:rFonts w:ascii="Times New Roman" w:hAnsi="Times New Roman" w:cs="Times New Roman"/>
          <w:sz w:val="24"/>
          <w:szCs w:val="24"/>
          <w:lang w:val="en-US"/>
        </w:rPr>
        <w:t xml:space="preserve"> </w:t>
      </w:r>
      <w:r w:rsidR="00D16B4F" w:rsidRPr="00F84F26">
        <w:rPr>
          <w:rFonts w:ascii="Times New Roman" w:hAnsi="Times New Roman" w:cs="Times New Roman"/>
          <w:sz w:val="24"/>
          <w:szCs w:val="24"/>
          <w:lang w:val="en-US"/>
        </w:rPr>
        <w:t xml:space="preserve">Several of these provisioning platforms </w:t>
      </w:r>
      <w:r w:rsidR="003300A3" w:rsidRPr="00F84F26">
        <w:rPr>
          <w:rFonts w:ascii="Times New Roman" w:hAnsi="Times New Roman" w:cs="Times New Roman"/>
          <w:sz w:val="24"/>
          <w:szCs w:val="24"/>
          <w:lang w:val="en-US"/>
        </w:rPr>
        <w:t>aim to reduce transportation distance and guarantee a certain food quality, often in terms of locally and organically produced food. M</w:t>
      </w:r>
      <w:r w:rsidR="004F0EA3">
        <w:rPr>
          <w:rFonts w:ascii="Times New Roman" w:hAnsi="Times New Roman" w:cs="Times New Roman"/>
          <w:sz w:val="24"/>
          <w:szCs w:val="24"/>
          <w:lang w:val="en-US"/>
        </w:rPr>
        <w:t>oreover</w:t>
      </w:r>
      <w:r w:rsidR="004F0EA3" w:rsidRPr="00F84F26">
        <w:rPr>
          <w:rFonts w:ascii="Times New Roman" w:hAnsi="Times New Roman" w:cs="Times New Roman"/>
          <w:sz w:val="24"/>
          <w:szCs w:val="24"/>
          <w:lang w:val="en-US"/>
        </w:rPr>
        <w:t xml:space="preserve">, a few initiatives are solely focused on facilitating interaction between businesses, such as the two-sided B2B platform </w:t>
      </w:r>
      <w:r w:rsidR="004F0EA3" w:rsidRPr="00F84F26">
        <w:rPr>
          <w:rFonts w:ascii="Times New Roman" w:hAnsi="Times New Roman" w:cs="Times New Roman"/>
          <w:i/>
          <w:sz w:val="24"/>
          <w:szCs w:val="24"/>
          <w:lang w:val="en-US"/>
        </w:rPr>
        <w:t>lokalmat.no</w:t>
      </w:r>
      <w:r w:rsidR="004F0EA3" w:rsidRPr="00F84F26">
        <w:rPr>
          <w:rFonts w:ascii="Times New Roman" w:hAnsi="Times New Roman" w:cs="Times New Roman"/>
          <w:sz w:val="24"/>
          <w:szCs w:val="24"/>
          <w:lang w:val="en-US"/>
        </w:rPr>
        <w:t>.</w:t>
      </w:r>
      <w:r w:rsidR="004F0EA3">
        <w:rPr>
          <w:rFonts w:ascii="Times New Roman" w:hAnsi="Times New Roman" w:cs="Times New Roman"/>
          <w:sz w:val="24"/>
          <w:szCs w:val="24"/>
          <w:lang w:val="en-US"/>
        </w:rPr>
        <w:t xml:space="preserve"> </w:t>
      </w:r>
      <w:r w:rsidR="004F0EA3" w:rsidRPr="00F84F26">
        <w:rPr>
          <w:rFonts w:ascii="Times New Roman" w:hAnsi="Times New Roman" w:cs="Times New Roman"/>
          <w:sz w:val="24"/>
          <w:szCs w:val="24"/>
          <w:lang w:val="en-US"/>
        </w:rPr>
        <w:t>Finally</w:t>
      </w:r>
      <w:r w:rsidR="004F0EA3">
        <w:rPr>
          <w:rFonts w:ascii="Times New Roman" w:hAnsi="Times New Roman" w:cs="Times New Roman"/>
          <w:sz w:val="24"/>
          <w:szCs w:val="24"/>
          <w:lang w:val="en-US"/>
        </w:rPr>
        <w:t xml:space="preserve">, </w:t>
      </w:r>
      <w:r w:rsidR="003300A3" w:rsidRPr="00F84F26">
        <w:rPr>
          <w:rFonts w:ascii="Times New Roman" w:hAnsi="Times New Roman" w:cs="Times New Roman"/>
          <w:sz w:val="24"/>
          <w:szCs w:val="24"/>
          <w:lang w:val="en-US"/>
        </w:rPr>
        <w:t xml:space="preserve">there are efforts to establish C2C food markets (e.g., </w:t>
      </w:r>
      <w:r w:rsidR="003300A3" w:rsidRPr="003D02DE">
        <w:rPr>
          <w:rFonts w:ascii="Times New Roman" w:hAnsi="Times New Roman" w:cs="Times New Roman"/>
          <w:i/>
          <w:sz w:val="24"/>
          <w:szCs w:val="24"/>
          <w:lang w:val="en-US"/>
        </w:rPr>
        <w:t>Oslo kooperativ</w:t>
      </w:r>
      <w:r w:rsidR="003300A3" w:rsidRPr="00F84F26">
        <w:rPr>
          <w:rFonts w:ascii="Times New Roman" w:hAnsi="Times New Roman" w:cs="Times New Roman"/>
          <w:sz w:val="24"/>
          <w:szCs w:val="24"/>
          <w:lang w:val="en-US"/>
        </w:rPr>
        <w:t xml:space="preserve">), promoting consumers to </w:t>
      </w:r>
      <w:r w:rsidR="00080BB1">
        <w:rPr>
          <w:rFonts w:ascii="Times New Roman" w:hAnsi="Times New Roman" w:cs="Times New Roman"/>
          <w:sz w:val="24"/>
          <w:szCs w:val="24"/>
          <w:lang w:val="en-US"/>
        </w:rPr>
        <w:t>assume</w:t>
      </w:r>
      <w:r w:rsidR="003300A3" w:rsidRPr="00F84F26">
        <w:rPr>
          <w:rFonts w:ascii="Times New Roman" w:hAnsi="Times New Roman" w:cs="Times New Roman"/>
          <w:sz w:val="24"/>
          <w:szCs w:val="24"/>
          <w:lang w:val="en-US"/>
        </w:rPr>
        <w:t xml:space="preserve"> the role of producer and retailer</w:t>
      </w:r>
      <w:r w:rsidR="00EC1382" w:rsidRPr="00F84F26">
        <w:rPr>
          <w:rFonts w:ascii="Times New Roman" w:hAnsi="Times New Roman" w:cs="Times New Roman"/>
          <w:sz w:val="24"/>
          <w:szCs w:val="24"/>
          <w:lang w:val="en-US"/>
        </w:rPr>
        <w:t xml:space="preserve"> where they can sell</w:t>
      </w:r>
      <w:r w:rsidR="003300A3" w:rsidRPr="00F84F26">
        <w:rPr>
          <w:rFonts w:ascii="Times New Roman" w:hAnsi="Times New Roman" w:cs="Times New Roman"/>
          <w:sz w:val="24"/>
          <w:szCs w:val="24"/>
          <w:lang w:val="en-US"/>
        </w:rPr>
        <w:t xml:space="preserve"> or </w:t>
      </w:r>
      <w:r w:rsidR="00EC1382" w:rsidRPr="00F84F26">
        <w:rPr>
          <w:rFonts w:ascii="Times New Roman" w:hAnsi="Times New Roman" w:cs="Times New Roman"/>
          <w:sz w:val="24"/>
          <w:szCs w:val="24"/>
          <w:lang w:val="en-US"/>
        </w:rPr>
        <w:t>swap</w:t>
      </w:r>
      <w:r w:rsidR="003300A3" w:rsidRPr="00F84F26">
        <w:rPr>
          <w:rFonts w:ascii="Times New Roman" w:hAnsi="Times New Roman" w:cs="Times New Roman"/>
          <w:sz w:val="24"/>
          <w:szCs w:val="24"/>
          <w:lang w:val="en-US"/>
        </w:rPr>
        <w:t xml:space="preserve"> their products </w:t>
      </w:r>
      <w:r w:rsidR="00EC1382" w:rsidRPr="00F84F26">
        <w:rPr>
          <w:rFonts w:ascii="Times New Roman" w:hAnsi="Times New Roman" w:cs="Times New Roman"/>
          <w:sz w:val="24"/>
          <w:szCs w:val="24"/>
          <w:lang w:val="en-US"/>
        </w:rPr>
        <w:t xml:space="preserve">directly in contact with other consumers </w:t>
      </w:r>
      <w:r w:rsidR="003300A3" w:rsidRPr="00F84F26">
        <w:rPr>
          <w:rFonts w:ascii="Times New Roman" w:hAnsi="Times New Roman" w:cs="Times New Roman"/>
          <w:sz w:val="24"/>
          <w:szCs w:val="24"/>
          <w:lang w:val="en-US"/>
        </w:rPr>
        <w:t xml:space="preserve">through digital means (i.e., apps, websites, social media groups). </w:t>
      </w:r>
      <w:r w:rsidR="00557E06" w:rsidRPr="00F84F26">
        <w:rPr>
          <w:rFonts w:ascii="Times New Roman" w:hAnsi="Times New Roman" w:cs="Times New Roman"/>
          <w:sz w:val="24"/>
          <w:szCs w:val="24"/>
          <w:lang w:val="en-US"/>
        </w:rPr>
        <w:t>Although this</w:t>
      </w:r>
      <w:r w:rsidR="00941CC1" w:rsidRPr="00F84F26">
        <w:rPr>
          <w:rFonts w:ascii="Times New Roman" w:hAnsi="Times New Roman" w:cs="Times New Roman"/>
          <w:sz w:val="24"/>
          <w:szCs w:val="24"/>
          <w:lang w:val="en-US"/>
        </w:rPr>
        <w:t xml:space="preserve"> latter type of initiative is especially </w:t>
      </w:r>
      <w:r w:rsidR="00557E06" w:rsidRPr="00F84F26">
        <w:rPr>
          <w:rFonts w:ascii="Times New Roman" w:hAnsi="Times New Roman" w:cs="Times New Roman"/>
          <w:sz w:val="24"/>
          <w:szCs w:val="24"/>
          <w:lang w:val="en-US"/>
        </w:rPr>
        <w:t xml:space="preserve">uncommon, </w:t>
      </w:r>
      <w:r w:rsidR="00941CC1" w:rsidRPr="00F84F26">
        <w:rPr>
          <w:rFonts w:ascii="Times New Roman" w:hAnsi="Times New Roman" w:cs="Times New Roman"/>
          <w:sz w:val="24"/>
          <w:szCs w:val="24"/>
          <w:lang w:val="en-US"/>
        </w:rPr>
        <w:t xml:space="preserve">consumer interest </w:t>
      </w:r>
      <w:r w:rsidR="002E478E" w:rsidRPr="00F84F26">
        <w:rPr>
          <w:rFonts w:ascii="Times New Roman" w:hAnsi="Times New Roman" w:cs="Times New Roman"/>
          <w:sz w:val="24"/>
          <w:szCs w:val="24"/>
          <w:lang w:val="en-US"/>
        </w:rPr>
        <w:t>in C2C food markets is</w:t>
      </w:r>
      <w:r w:rsidR="00941CC1" w:rsidRPr="00F84F26">
        <w:rPr>
          <w:rFonts w:ascii="Times New Roman" w:hAnsi="Times New Roman" w:cs="Times New Roman"/>
          <w:sz w:val="24"/>
          <w:szCs w:val="24"/>
          <w:lang w:val="en-US"/>
        </w:rPr>
        <w:t xml:space="preserve"> spreading</w:t>
      </w:r>
      <w:r w:rsidR="002E478E" w:rsidRPr="00F84F26">
        <w:rPr>
          <w:rFonts w:ascii="Times New Roman" w:hAnsi="Times New Roman" w:cs="Times New Roman"/>
          <w:sz w:val="24"/>
          <w:szCs w:val="24"/>
          <w:lang w:val="en-US"/>
        </w:rPr>
        <w:t>.</w:t>
      </w:r>
      <w:r w:rsidR="00941CC1" w:rsidRPr="00F84F26">
        <w:rPr>
          <w:rFonts w:ascii="Times New Roman" w:hAnsi="Times New Roman" w:cs="Times New Roman"/>
          <w:sz w:val="24"/>
          <w:szCs w:val="24"/>
          <w:lang w:val="en-US"/>
        </w:rPr>
        <w:t xml:space="preserve"> </w:t>
      </w:r>
      <w:r w:rsidR="00E73321">
        <w:rPr>
          <w:rFonts w:ascii="Times New Roman" w:hAnsi="Times New Roman" w:cs="Times New Roman"/>
          <w:sz w:val="24"/>
          <w:szCs w:val="24"/>
          <w:lang w:val="en-US"/>
        </w:rPr>
        <w:t xml:space="preserve">Most initiatives are run primarily through websites, followed by mobile apps. Most have a form of social media presence, usually across several </w:t>
      </w:r>
      <w:r w:rsidR="00080BB1">
        <w:rPr>
          <w:rFonts w:ascii="Times New Roman" w:hAnsi="Times New Roman" w:cs="Times New Roman"/>
          <w:sz w:val="24"/>
          <w:szCs w:val="24"/>
          <w:lang w:val="en-US"/>
        </w:rPr>
        <w:t xml:space="preserve">network </w:t>
      </w:r>
      <w:r w:rsidR="000B6FE2">
        <w:rPr>
          <w:rFonts w:ascii="Times New Roman" w:hAnsi="Times New Roman" w:cs="Times New Roman"/>
          <w:sz w:val="24"/>
          <w:szCs w:val="24"/>
          <w:lang w:val="en-US"/>
        </w:rPr>
        <w:t>forums</w:t>
      </w:r>
      <w:r w:rsidR="00E73321">
        <w:rPr>
          <w:rFonts w:ascii="Times New Roman" w:hAnsi="Times New Roman" w:cs="Times New Roman"/>
          <w:sz w:val="24"/>
          <w:szCs w:val="24"/>
          <w:lang w:val="en-US"/>
        </w:rPr>
        <w:t xml:space="preserve"> (e.g., Facebook, Instagram, Twitter etc).</w:t>
      </w:r>
    </w:p>
    <w:p w14:paraId="6D7B6E16" w14:textId="155CF94A" w:rsidR="00B96BEF" w:rsidRDefault="00B96BEF" w:rsidP="009A7F07">
      <w:pPr>
        <w:spacing w:line="276" w:lineRule="auto"/>
        <w:rPr>
          <w:lang w:val="en-US" w:eastAsia="en-US"/>
        </w:rPr>
      </w:pPr>
    </w:p>
    <w:p w14:paraId="576FC38D" w14:textId="50B1AF4F" w:rsidR="00CA5AFC" w:rsidRDefault="00B96BEF" w:rsidP="009A7F07">
      <w:pPr>
        <w:spacing w:line="276" w:lineRule="auto"/>
        <w:rPr>
          <w:lang w:val="en-US" w:eastAsia="en-US"/>
        </w:rPr>
      </w:pPr>
      <w:r>
        <w:rPr>
          <w:lang w:val="en-US" w:eastAsia="en-US"/>
        </w:rPr>
        <w:t>Such r</w:t>
      </w:r>
      <w:r w:rsidR="00934EFA">
        <w:rPr>
          <w:lang w:val="en-US" w:eastAsia="en-US"/>
        </w:rPr>
        <w:t>ecent</w:t>
      </w:r>
      <w:r w:rsidR="00934EFA" w:rsidRPr="0055193B">
        <w:rPr>
          <w:lang w:val="en-US" w:eastAsia="en-US"/>
        </w:rPr>
        <w:t xml:space="preserve"> </w:t>
      </w:r>
      <w:r>
        <w:rPr>
          <w:lang w:val="en-US" w:eastAsia="en-US"/>
        </w:rPr>
        <w:t xml:space="preserve">innovations in the food sector </w:t>
      </w:r>
      <w:r w:rsidR="00934EFA" w:rsidRPr="0055193B">
        <w:rPr>
          <w:lang w:val="en-US" w:eastAsia="en-US"/>
        </w:rPr>
        <w:t xml:space="preserve">have witnessed an increase in use among Norwegian consumers from 2015 to 2016 </w:t>
      </w:r>
      <w:r w:rsidR="00934EFA" w:rsidRPr="0055193B">
        <w:rPr>
          <w:noProof/>
          <w:lang w:val="en-US" w:eastAsia="en-US"/>
        </w:rPr>
        <w:t>(Nielsen, 2017b)</w:t>
      </w:r>
      <w:r w:rsidR="00934EFA">
        <w:rPr>
          <w:lang w:val="en-US" w:eastAsia="en-US"/>
        </w:rPr>
        <w:t>. Around 11.</w:t>
      </w:r>
      <w:r w:rsidR="00934EFA" w:rsidRPr="0055193B">
        <w:rPr>
          <w:lang w:val="en-US" w:eastAsia="en-US"/>
        </w:rPr>
        <w:t xml:space="preserve">6% of Norwegian </w:t>
      </w:r>
      <w:r w:rsidR="00934EFA" w:rsidRPr="0055193B">
        <w:rPr>
          <w:lang w:val="en-US" w:eastAsia="en-US"/>
        </w:rPr>
        <w:lastRenderedPageBreak/>
        <w:t xml:space="preserve">consumers in 2017 bought groceries online – twice as many as in 2016 </w:t>
      </w:r>
      <w:r w:rsidR="00934EFA" w:rsidRPr="0055193B">
        <w:rPr>
          <w:noProof/>
          <w:lang w:val="en-US" w:eastAsia="en-US"/>
        </w:rPr>
        <w:t>(Nielsen, 2017a)</w:t>
      </w:r>
      <w:r w:rsidR="00934EFA" w:rsidRPr="0055193B">
        <w:rPr>
          <w:lang w:val="en-US" w:eastAsia="en-US"/>
        </w:rPr>
        <w:t xml:space="preserve">. </w:t>
      </w:r>
      <w:r w:rsidR="00934EFA">
        <w:rPr>
          <w:lang w:val="en-US" w:eastAsia="en-US"/>
        </w:rPr>
        <w:t>Around 4.</w:t>
      </w:r>
      <w:r w:rsidR="00934EFA" w:rsidRPr="0055193B">
        <w:rPr>
          <w:lang w:val="en-US" w:eastAsia="en-US"/>
        </w:rPr>
        <w:t>2 % of consumers subscribed to a food box scheme in the second half of 2016</w:t>
      </w:r>
      <w:r w:rsidR="00934EFA" w:rsidRPr="0055193B">
        <w:rPr>
          <w:i/>
          <w:lang w:val="en-US" w:eastAsia="en-US"/>
        </w:rPr>
        <w:t xml:space="preserve"> </w:t>
      </w:r>
      <w:r w:rsidR="00934EFA" w:rsidRPr="0055193B">
        <w:rPr>
          <w:noProof/>
          <w:lang w:val="en-US" w:eastAsia="en-US"/>
        </w:rPr>
        <w:t>(Virke, 2017)</w:t>
      </w:r>
      <w:r w:rsidR="00934EFA" w:rsidRPr="0055193B">
        <w:rPr>
          <w:lang w:val="en-US" w:eastAsia="en-US"/>
        </w:rPr>
        <w:t xml:space="preserve">. It is especially families with children who use such box schemes; listing time saving, low delivery costs, and fewer impulse buys as </w:t>
      </w:r>
      <w:r w:rsidR="00934EFA">
        <w:rPr>
          <w:lang w:val="en-US" w:eastAsia="en-US"/>
        </w:rPr>
        <w:t xml:space="preserve">their primary </w:t>
      </w:r>
      <w:r w:rsidR="00934EFA" w:rsidRPr="0055193B">
        <w:rPr>
          <w:lang w:val="en-US" w:eastAsia="en-US"/>
        </w:rPr>
        <w:t xml:space="preserve">motivations. These digital innovations are currently predominantly available in central urban areas. The geographical location and the widespread settlement in Norway leads to considerable higher prices of logistics and delivery to more rural and remote areas. Despite the exponential increase in sales from online stores and digital food distribution platforms, these are yet to pose a genuine threat to traditional food </w:t>
      </w:r>
      <w:r w:rsidR="00934EFA">
        <w:rPr>
          <w:lang w:val="en-US" w:eastAsia="en-US"/>
        </w:rPr>
        <w:t xml:space="preserve">stores. Nevertheless, </w:t>
      </w:r>
      <w:r w:rsidR="00934EFA" w:rsidRPr="0055193B">
        <w:rPr>
          <w:lang w:val="en-US" w:eastAsia="en-US"/>
        </w:rPr>
        <w:t xml:space="preserve">insights from other countries than Norway suggest that this is a market segment of great potential. </w:t>
      </w:r>
      <w:r w:rsidR="00934EFA">
        <w:rPr>
          <w:lang w:val="en-US" w:eastAsia="en-US"/>
        </w:rPr>
        <w:t xml:space="preserve">In fact, online food shopping had a </w:t>
      </w:r>
      <w:r w:rsidR="00934EFA" w:rsidRPr="0055193B">
        <w:rPr>
          <w:lang w:val="en-US" w:eastAsia="en-US"/>
        </w:rPr>
        <w:t xml:space="preserve">total turnover </w:t>
      </w:r>
      <w:r w:rsidR="00934EFA">
        <w:rPr>
          <w:lang w:val="en-US" w:eastAsia="en-US"/>
        </w:rPr>
        <w:t xml:space="preserve">of </w:t>
      </w:r>
      <w:r w:rsidR="00325AA4">
        <w:rPr>
          <w:lang w:val="en-US" w:eastAsia="en-US"/>
        </w:rPr>
        <w:t>approximately 2</w:t>
      </w:r>
      <w:r w:rsidR="00934EFA">
        <w:rPr>
          <w:lang w:val="en-US" w:eastAsia="en-US"/>
        </w:rPr>
        <w:t xml:space="preserve"> billion NOK</w:t>
      </w:r>
      <w:r w:rsidR="007A566D">
        <w:rPr>
          <w:rStyle w:val="Fotnotereferanse"/>
          <w:lang w:val="en-US" w:eastAsia="en-US"/>
        </w:rPr>
        <w:footnoteReference w:id="3"/>
      </w:r>
      <w:r w:rsidR="00325AA4">
        <w:rPr>
          <w:lang w:val="en-US" w:eastAsia="en-US"/>
        </w:rPr>
        <w:t xml:space="preserve"> in </w:t>
      </w:r>
      <w:r w:rsidR="00325AA4" w:rsidRPr="00EA3475">
        <w:rPr>
          <w:lang w:val="en-US" w:eastAsia="en-US"/>
        </w:rPr>
        <w:t>2017 (Dagligvarefasiten, 2018)</w:t>
      </w:r>
      <w:r w:rsidR="00934EFA" w:rsidRPr="00EA3475">
        <w:rPr>
          <w:lang w:val="en-US" w:eastAsia="en-US"/>
        </w:rPr>
        <w:t xml:space="preserve"> and</w:t>
      </w:r>
      <w:r w:rsidR="00934EFA" w:rsidRPr="0055193B">
        <w:rPr>
          <w:lang w:val="en-US" w:eastAsia="en-US"/>
        </w:rPr>
        <w:t xml:space="preserve"> </w:t>
      </w:r>
      <w:r w:rsidR="00934EFA">
        <w:rPr>
          <w:lang w:val="en-US" w:eastAsia="en-US"/>
        </w:rPr>
        <w:t>is</w:t>
      </w:r>
      <w:r w:rsidR="00934EFA" w:rsidRPr="0055193B">
        <w:rPr>
          <w:lang w:val="en-US" w:eastAsia="en-US"/>
        </w:rPr>
        <w:t xml:space="preserve"> e</w:t>
      </w:r>
      <w:r w:rsidR="00934EFA">
        <w:rPr>
          <w:lang w:val="en-US" w:eastAsia="en-US"/>
        </w:rPr>
        <w:t>xpected to reach a staggering 7.</w:t>
      </w:r>
      <w:r w:rsidR="00934EFA" w:rsidRPr="0055193B">
        <w:rPr>
          <w:lang w:val="en-US" w:eastAsia="en-US"/>
        </w:rPr>
        <w:t xml:space="preserve">5 billion in 2019 </w:t>
      </w:r>
      <w:r w:rsidR="00934EFA" w:rsidRPr="0055193B">
        <w:rPr>
          <w:noProof/>
          <w:lang w:val="en-US" w:eastAsia="en-US"/>
        </w:rPr>
        <w:t>(Virke, 2017)</w:t>
      </w:r>
      <w:r w:rsidR="00934EFA" w:rsidRPr="0055193B">
        <w:rPr>
          <w:lang w:val="en-US" w:eastAsia="en-US"/>
        </w:rPr>
        <w:t xml:space="preserve">. </w:t>
      </w:r>
    </w:p>
    <w:p w14:paraId="24C7EBD6" w14:textId="77777777" w:rsidR="00934EFA" w:rsidRDefault="00934EFA" w:rsidP="009A7F07">
      <w:pPr>
        <w:spacing w:line="276" w:lineRule="auto"/>
        <w:rPr>
          <w:lang w:val="en-US" w:eastAsia="en-US"/>
        </w:rPr>
      </w:pPr>
    </w:p>
    <w:p w14:paraId="1299779D" w14:textId="47A28B5F" w:rsidR="009346BB" w:rsidRPr="0055193B" w:rsidRDefault="00934EFA" w:rsidP="009A7F07">
      <w:pPr>
        <w:spacing w:line="276" w:lineRule="auto"/>
        <w:rPr>
          <w:lang w:val="en-US" w:eastAsia="en-US"/>
        </w:rPr>
      </w:pPr>
      <w:r>
        <w:rPr>
          <w:lang w:val="en-US" w:eastAsia="en-US"/>
        </w:rPr>
        <w:t>The</w:t>
      </w:r>
      <w:r w:rsidRPr="0055193B">
        <w:rPr>
          <w:lang w:val="en-US" w:eastAsia="en-US"/>
        </w:rPr>
        <w:t xml:space="preserve"> </w:t>
      </w:r>
      <w:r>
        <w:rPr>
          <w:lang w:val="en-US" w:eastAsia="en-US"/>
        </w:rPr>
        <w:t>various digital</w:t>
      </w:r>
      <w:r w:rsidRPr="0055193B">
        <w:rPr>
          <w:lang w:val="en-US" w:eastAsia="en-US"/>
        </w:rPr>
        <w:t xml:space="preserve"> food </w:t>
      </w:r>
      <w:r>
        <w:rPr>
          <w:lang w:val="en-US" w:eastAsia="en-US"/>
        </w:rPr>
        <w:t>channels</w:t>
      </w:r>
      <w:r w:rsidRPr="0055193B">
        <w:rPr>
          <w:lang w:val="en-US" w:eastAsia="en-US"/>
        </w:rPr>
        <w:t xml:space="preserve"> in Norway</w:t>
      </w:r>
      <w:r>
        <w:rPr>
          <w:lang w:val="en-US" w:eastAsia="en-US"/>
        </w:rPr>
        <w:t xml:space="preserve"> </w:t>
      </w:r>
      <w:r w:rsidR="00204BF0">
        <w:rPr>
          <w:lang w:val="en-US" w:eastAsia="en-US"/>
        </w:rPr>
        <w:t>may</w:t>
      </w:r>
      <w:r>
        <w:rPr>
          <w:lang w:val="en-US" w:eastAsia="en-US"/>
        </w:rPr>
        <w:t xml:space="preserve"> be divided into five</w:t>
      </w:r>
      <w:r w:rsidRPr="0055193B">
        <w:rPr>
          <w:lang w:val="en-US" w:eastAsia="en-US"/>
        </w:rPr>
        <w:t xml:space="preserve"> main concepts;</w:t>
      </w:r>
      <w:r>
        <w:rPr>
          <w:lang w:val="en-US" w:eastAsia="en-US"/>
        </w:rPr>
        <w:t xml:space="preserve"> online hypermarkets (stores with a full assortment like traditional physical hypermarkets), online niche stores (specialized stores with a selected assortment), food box delivery, ready-made meals, and online schemes for food close to its expiration date</w:t>
      </w:r>
      <w:r w:rsidRPr="0055193B">
        <w:rPr>
          <w:lang w:val="en-US" w:eastAsia="en-US"/>
        </w:rPr>
        <w:t xml:space="preserve"> (see table 3). The </w:t>
      </w:r>
      <w:r>
        <w:rPr>
          <w:lang w:val="en-US" w:eastAsia="en-US"/>
        </w:rPr>
        <w:t>two</w:t>
      </w:r>
      <w:r w:rsidRPr="0055193B">
        <w:rPr>
          <w:lang w:val="en-US" w:eastAsia="en-US"/>
        </w:rPr>
        <w:t xml:space="preserve"> largest actors in this market segment are</w:t>
      </w:r>
      <w:r>
        <w:rPr>
          <w:lang w:val="en-US" w:eastAsia="en-US"/>
        </w:rPr>
        <w:t xml:space="preserve"> the online supermarket</w:t>
      </w:r>
      <w:r w:rsidRPr="0055193B">
        <w:rPr>
          <w:lang w:val="en-US" w:eastAsia="en-US"/>
        </w:rPr>
        <w:t xml:space="preserve"> </w:t>
      </w:r>
      <w:r w:rsidRPr="0055193B">
        <w:rPr>
          <w:i/>
          <w:lang w:val="en-US" w:eastAsia="en-US"/>
        </w:rPr>
        <w:t xml:space="preserve">Kolonial.no </w:t>
      </w:r>
      <w:r w:rsidRPr="0055193B">
        <w:rPr>
          <w:lang w:val="en-US" w:eastAsia="en-US"/>
        </w:rPr>
        <w:t xml:space="preserve">and the box delivery service </w:t>
      </w:r>
      <w:r>
        <w:rPr>
          <w:i/>
          <w:lang w:val="en-US" w:eastAsia="en-US"/>
        </w:rPr>
        <w:t>GodtLevert</w:t>
      </w:r>
      <w:r w:rsidRPr="0055193B">
        <w:rPr>
          <w:lang w:val="en-US" w:eastAsia="en-US"/>
        </w:rPr>
        <w:t xml:space="preserve"> </w:t>
      </w:r>
      <w:r w:rsidRPr="0055193B">
        <w:rPr>
          <w:noProof/>
          <w:lang w:val="en-US" w:eastAsia="en-US"/>
        </w:rPr>
        <w:t>(Oslo Economics, 2017)</w:t>
      </w:r>
      <w:r w:rsidRPr="0055193B">
        <w:rPr>
          <w:lang w:val="en-US" w:eastAsia="en-US"/>
        </w:rPr>
        <w:t xml:space="preserve">. The latter buys products directly from suppliers and outsources distribution of the food boxes to third parties. In addition to these larger digital actors, there are a number of smaller niche actors such as </w:t>
      </w:r>
      <w:r w:rsidR="00032257">
        <w:rPr>
          <w:i/>
          <w:lang w:val="en-US" w:eastAsia="en-US"/>
        </w:rPr>
        <w:t>morgenlevering</w:t>
      </w:r>
      <w:r w:rsidRPr="0055193B">
        <w:rPr>
          <w:i/>
          <w:lang w:val="en-US" w:eastAsia="en-US"/>
        </w:rPr>
        <w:t>.no</w:t>
      </w:r>
      <w:r w:rsidRPr="0055193B">
        <w:rPr>
          <w:lang w:val="en-US" w:eastAsia="en-US"/>
        </w:rPr>
        <w:t xml:space="preserve"> and </w:t>
      </w:r>
      <w:r w:rsidRPr="0055193B">
        <w:rPr>
          <w:i/>
          <w:lang w:val="en-US" w:eastAsia="en-US"/>
        </w:rPr>
        <w:t xml:space="preserve">kokkeløren.no </w:t>
      </w:r>
      <w:r w:rsidRPr="0055193B">
        <w:rPr>
          <w:noProof/>
          <w:lang w:val="en-US" w:eastAsia="en-US"/>
        </w:rPr>
        <w:t>(Virke, 2017)</w:t>
      </w:r>
      <w:r w:rsidRPr="0055193B">
        <w:rPr>
          <w:lang w:val="en-US" w:eastAsia="en-US"/>
        </w:rPr>
        <w:t>.</w:t>
      </w:r>
      <w:r w:rsidR="00413F2D">
        <w:rPr>
          <w:lang w:val="en-US" w:eastAsia="en-US"/>
        </w:rPr>
        <w:t xml:space="preserve"> These small-scale niche initiatives tend to employ the retailing strategy of long tail retail distribution</w:t>
      </w:r>
      <w:r w:rsidR="00065680">
        <w:rPr>
          <w:lang w:val="en-US" w:eastAsia="en-US"/>
        </w:rPr>
        <w:t xml:space="preserve"> (</w:t>
      </w:r>
      <w:r w:rsidR="00065680" w:rsidRPr="00C53FB9">
        <w:rPr>
          <w:lang w:val="en-US"/>
        </w:rPr>
        <w:t xml:space="preserve">Brynjolfsson, </w:t>
      </w:r>
      <w:r w:rsidR="00065680">
        <w:rPr>
          <w:lang w:val="en-US"/>
        </w:rPr>
        <w:t xml:space="preserve">Hu </w:t>
      </w:r>
      <w:r w:rsidR="00065680" w:rsidRPr="00C53FB9">
        <w:rPr>
          <w:lang w:val="en-US"/>
        </w:rPr>
        <w:t>&amp;</w:t>
      </w:r>
      <w:r w:rsidR="00065680">
        <w:rPr>
          <w:lang w:val="en-US"/>
        </w:rPr>
        <w:t xml:space="preserve"> Smith, </w:t>
      </w:r>
      <w:r w:rsidR="00065680" w:rsidRPr="00C53FB9">
        <w:rPr>
          <w:lang w:val="en-US"/>
        </w:rPr>
        <w:t>2006</w:t>
      </w:r>
      <w:r w:rsidR="00065680">
        <w:rPr>
          <w:lang w:val="en-US" w:eastAsia="en-US"/>
        </w:rPr>
        <w:t>)</w:t>
      </w:r>
      <w:r w:rsidR="00413F2D">
        <w:rPr>
          <w:lang w:val="en-US" w:eastAsia="en-US"/>
        </w:rPr>
        <w:t xml:space="preserve">, meaning they </w:t>
      </w:r>
      <w:r w:rsidR="00FB313D">
        <w:rPr>
          <w:lang w:val="en-US" w:eastAsia="en-US"/>
        </w:rPr>
        <w:t xml:space="preserve">sell uncommon goods. Niche stores </w:t>
      </w:r>
      <w:r w:rsidR="00413F2D">
        <w:rPr>
          <w:lang w:val="en-US" w:eastAsia="en-US"/>
        </w:rPr>
        <w:t>typically sell a large number of special products with a relatively small quantity sold of each product</w:t>
      </w:r>
      <w:r w:rsidR="00796D15">
        <w:rPr>
          <w:lang w:val="en-US" w:eastAsia="en-US"/>
        </w:rPr>
        <w:t xml:space="preserve"> combined with selling a few popular mainstream</w:t>
      </w:r>
      <w:r w:rsidR="00413F2D">
        <w:rPr>
          <w:lang w:val="en-US" w:eastAsia="en-US"/>
        </w:rPr>
        <w:t xml:space="preserve"> </w:t>
      </w:r>
      <w:r w:rsidR="00760AC0">
        <w:rPr>
          <w:lang w:val="en-US" w:eastAsia="en-US"/>
        </w:rPr>
        <w:t>products in larger quantities.</w:t>
      </w:r>
    </w:p>
    <w:p w14:paraId="705A8F80" w14:textId="77777777" w:rsidR="00934EFA" w:rsidRPr="0055193B" w:rsidRDefault="00934EFA" w:rsidP="009A7F07">
      <w:pPr>
        <w:spacing w:line="276" w:lineRule="auto"/>
        <w:rPr>
          <w:lang w:val="en-US" w:eastAsia="en-US"/>
        </w:rPr>
      </w:pPr>
    </w:p>
    <w:p w14:paraId="5D40206D" w14:textId="77777777" w:rsidR="00934EFA" w:rsidRDefault="00934EFA" w:rsidP="009A7F07">
      <w:pPr>
        <w:spacing w:line="276" w:lineRule="auto"/>
        <w:rPr>
          <w:lang w:val="en-US" w:eastAsia="en-US"/>
        </w:rPr>
      </w:pPr>
      <w:r w:rsidRPr="0055193B">
        <w:rPr>
          <w:lang w:val="en-US" w:eastAsia="en-US"/>
        </w:rPr>
        <w:t xml:space="preserve">None of the three dominant </w:t>
      </w:r>
      <w:r>
        <w:rPr>
          <w:lang w:val="en-US" w:eastAsia="en-US"/>
        </w:rPr>
        <w:t>retail groups</w:t>
      </w:r>
      <w:r w:rsidRPr="0055193B">
        <w:rPr>
          <w:lang w:val="en-US" w:eastAsia="en-US"/>
        </w:rPr>
        <w:t xml:space="preserve"> of traditional food distribution has a notable focus on online sales. </w:t>
      </w:r>
      <w:r>
        <w:rPr>
          <w:i/>
          <w:lang w:val="en-US" w:eastAsia="en-US"/>
        </w:rPr>
        <w:t>NorgesG</w:t>
      </w:r>
      <w:r w:rsidRPr="0055193B">
        <w:rPr>
          <w:i/>
          <w:lang w:val="en-US" w:eastAsia="en-US"/>
        </w:rPr>
        <w:t>ruppen</w:t>
      </w:r>
      <w:r>
        <w:rPr>
          <w:lang w:val="en-US" w:eastAsia="en-US"/>
        </w:rPr>
        <w:t>, however, has started small-</w:t>
      </w:r>
      <w:r w:rsidRPr="0055193B">
        <w:rPr>
          <w:lang w:val="en-US" w:eastAsia="en-US"/>
        </w:rPr>
        <w:t xml:space="preserve">scale by selling groceries online through </w:t>
      </w:r>
      <w:r w:rsidRPr="00793593">
        <w:rPr>
          <w:i/>
          <w:lang w:val="en-US" w:eastAsia="en-US"/>
        </w:rPr>
        <w:t>meny.no, spar.no</w:t>
      </w:r>
      <w:r w:rsidRPr="0055193B">
        <w:rPr>
          <w:lang w:val="en-US" w:eastAsia="en-US"/>
        </w:rPr>
        <w:t xml:space="preserve">, and </w:t>
      </w:r>
      <w:r w:rsidRPr="00793593">
        <w:rPr>
          <w:i/>
          <w:lang w:val="en-US" w:eastAsia="en-US"/>
        </w:rPr>
        <w:t>joker.no</w:t>
      </w:r>
      <w:r w:rsidRPr="0055193B">
        <w:rPr>
          <w:lang w:val="en-US" w:eastAsia="en-US"/>
        </w:rPr>
        <w:t xml:space="preserve">. The same goes for </w:t>
      </w:r>
      <w:r w:rsidRPr="0055193B">
        <w:rPr>
          <w:i/>
          <w:lang w:val="en-US" w:eastAsia="en-US"/>
        </w:rPr>
        <w:t>Coop</w:t>
      </w:r>
      <w:r w:rsidRPr="0055193B">
        <w:rPr>
          <w:lang w:val="en-US" w:eastAsia="en-US"/>
        </w:rPr>
        <w:t xml:space="preserve">, which offers small-scale online sales of products from </w:t>
      </w:r>
      <w:r w:rsidRPr="0055193B">
        <w:rPr>
          <w:i/>
          <w:lang w:val="en-US" w:eastAsia="en-US"/>
        </w:rPr>
        <w:t>Coop Obs</w:t>
      </w:r>
      <w:r w:rsidRPr="0055193B">
        <w:rPr>
          <w:lang w:val="en-US" w:eastAsia="en-US"/>
        </w:rPr>
        <w:t xml:space="preserve"> and </w:t>
      </w:r>
      <w:r w:rsidRPr="0055193B">
        <w:rPr>
          <w:i/>
          <w:lang w:val="en-US" w:eastAsia="en-US"/>
        </w:rPr>
        <w:t>Coop Obs Bygg</w:t>
      </w:r>
      <w:r w:rsidRPr="0055193B">
        <w:rPr>
          <w:lang w:val="en-US" w:eastAsia="en-US"/>
        </w:rPr>
        <w:t xml:space="preserve">. </w:t>
      </w:r>
      <w:r w:rsidRPr="0055193B">
        <w:rPr>
          <w:i/>
          <w:lang w:val="en-US" w:eastAsia="en-US"/>
        </w:rPr>
        <w:t>Rema</w:t>
      </w:r>
      <w:r w:rsidRPr="0055193B">
        <w:rPr>
          <w:lang w:val="en-US" w:eastAsia="en-US"/>
        </w:rPr>
        <w:t xml:space="preserve"> owns the box scheme </w:t>
      </w:r>
      <w:r w:rsidRPr="0055193B">
        <w:rPr>
          <w:i/>
          <w:lang w:val="en-US" w:eastAsia="en-US"/>
        </w:rPr>
        <w:t>Kolonihagen</w:t>
      </w:r>
      <w:r w:rsidRPr="0055193B">
        <w:rPr>
          <w:lang w:val="en-US" w:eastAsia="en-US"/>
        </w:rPr>
        <w:t xml:space="preserve"> as well as owning 8% shares of the online supermarket </w:t>
      </w:r>
      <w:r w:rsidRPr="0055193B">
        <w:rPr>
          <w:i/>
          <w:lang w:val="en-US" w:eastAsia="en-US"/>
        </w:rPr>
        <w:t>Kolonial.no</w:t>
      </w:r>
      <w:r w:rsidRPr="0055193B">
        <w:rPr>
          <w:lang w:val="en-US" w:eastAsia="en-US"/>
        </w:rPr>
        <w:t xml:space="preserve">, but has no online stores itself as of yet. </w:t>
      </w:r>
    </w:p>
    <w:p w14:paraId="0028EA6A" w14:textId="77777777" w:rsidR="00934EFA" w:rsidRDefault="00934EFA" w:rsidP="009A340C">
      <w:pPr>
        <w:spacing w:line="276" w:lineRule="auto"/>
        <w:rPr>
          <w:sz w:val="22"/>
          <w:szCs w:val="22"/>
          <w:lang w:val="en-US" w:eastAsia="en-US"/>
        </w:rPr>
      </w:pPr>
    </w:p>
    <w:p w14:paraId="3CB59ECD" w14:textId="77777777" w:rsidR="00934EFA" w:rsidRDefault="00934EFA" w:rsidP="009A340C">
      <w:pPr>
        <w:spacing w:line="276" w:lineRule="auto"/>
        <w:rPr>
          <w:sz w:val="22"/>
          <w:szCs w:val="22"/>
          <w:lang w:val="en-US" w:eastAsia="en-US"/>
        </w:rPr>
      </w:pPr>
    </w:p>
    <w:tbl>
      <w:tblPr>
        <w:tblStyle w:val="Tabellrutenet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2"/>
        <w:gridCol w:w="1559"/>
        <w:gridCol w:w="1417"/>
        <w:gridCol w:w="1985"/>
        <w:gridCol w:w="1984"/>
      </w:tblGrid>
      <w:tr w:rsidR="00934EFA" w:rsidRPr="002D075C" w14:paraId="23F974D6" w14:textId="77777777" w:rsidTr="002D075C">
        <w:trPr>
          <w:trHeight w:val="599"/>
        </w:trPr>
        <w:tc>
          <w:tcPr>
            <w:tcW w:w="2132" w:type="dxa"/>
            <w:tcBorders>
              <w:top w:val="single" w:sz="4" w:space="0" w:color="auto"/>
            </w:tcBorders>
            <w:shd w:val="clear" w:color="auto" w:fill="EDEDED" w:themeFill="accent3" w:themeFillTint="33"/>
          </w:tcPr>
          <w:p w14:paraId="1E9A0474" w14:textId="77777777" w:rsidR="00934EFA" w:rsidRPr="002D075C" w:rsidRDefault="00934EFA" w:rsidP="00E04450">
            <w:pPr>
              <w:tabs>
                <w:tab w:val="left" w:pos="1134"/>
              </w:tabs>
              <w:jc w:val="both"/>
              <w:rPr>
                <w:b/>
                <w:sz w:val="22"/>
                <w:szCs w:val="22"/>
              </w:rPr>
            </w:pPr>
            <w:r w:rsidRPr="002D075C">
              <w:rPr>
                <w:b/>
                <w:sz w:val="22"/>
                <w:szCs w:val="22"/>
              </w:rPr>
              <w:t>Channel type</w:t>
            </w:r>
          </w:p>
        </w:tc>
        <w:tc>
          <w:tcPr>
            <w:tcW w:w="1559" w:type="dxa"/>
            <w:tcBorders>
              <w:top w:val="single" w:sz="4" w:space="0" w:color="auto"/>
            </w:tcBorders>
            <w:shd w:val="clear" w:color="auto" w:fill="EDEDED" w:themeFill="accent3" w:themeFillTint="33"/>
          </w:tcPr>
          <w:p w14:paraId="15A9A02C" w14:textId="77777777" w:rsidR="00934EFA" w:rsidRPr="002D075C" w:rsidRDefault="00934EFA" w:rsidP="00E04450">
            <w:pPr>
              <w:tabs>
                <w:tab w:val="left" w:pos="1134"/>
              </w:tabs>
              <w:jc w:val="both"/>
              <w:rPr>
                <w:b/>
                <w:sz w:val="22"/>
                <w:szCs w:val="22"/>
              </w:rPr>
            </w:pPr>
            <w:r w:rsidRPr="002D075C">
              <w:rPr>
                <w:b/>
                <w:sz w:val="22"/>
                <w:szCs w:val="22"/>
              </w:rPr>
              <w:t>Examples</w:t>
            </w:r>
          </w:p>
        </w:tc>
        <w:tc>
          <w:tcPr>
            <w:tcW w:w="1417" w:type="dxa"/>
            <w:tcBorders>
              <w:top w:val="single" w:sz="4" w:space="0" w:color="auto"/>
            </w:tcBorders>
            <w:shd w:val="clear" w:color="auto" w:fill="EDEDED" w:themeFill="accent3" w:themeFillTint="33"/>
          </w:tcPr>
          <w:p w14:paraId="27727D25" w14:textId="77777777" w:rsidR="00934EFA" w:rsidRPr="002D075C" w:rsidRDefault="00934EFA" w:rsidP="00297EDB">
            <w:pPr>
              <w:tabs>
                <w:tab w:val="left" w:pos="1134"/>
              </w:tabs>
              <w:rPr>
                <w:b/>
                <w:sz w:val="22"/>
                <w:szCs w:val="22"/>
              </w:rPr>
            </w:pPr>
            <w:r w:rsidRPr="002D075C">
              <w:rPr>
                <w:b/>
                <w:sz w:val="22"/>
                <w:szCs w:val="22"/>
              </w:rPr>
              <w:t>Main digital presence</w:t>
            </w:r>
          </w:p>
        </w:tc>
        <w:tc>
          <w:tcPr>
            <w:tcW w:w="1985" w:type="dxa"/>
            <w:tcBorders>
              <w:top w:val="single" w:sz="4" w:space="0" w:color="auto"/>
            </w:tcBorders>
            <w:shd w:val="clear" w:color="auto" w:fill="EDEDED" w:themeFill="accent3" w:themeFillTint="33"/>
          </w:tcPr>
          <w:p w14:paraId="6E37C104" w14:textId="77777777" w:rsidR="00934EFA" w:rsidRPr="002D075C" w:rsidRDefault="00934EFA" w:rsidP="00E04450">
            <w:pPr>
              <w:tabs>
                <w:tab w:val="left" w:pos="1134"/>
              </w:tabs>
              <w:jc w:val="both"/>
              <w:rPr>
                <w:b/>
                <w:sz w:val="22"/>
                <w:szCs w:val="22"/>
              </w:rPr>
            </w:pPr>
            <w:r w:rsidRPr="002D075C">
              <w:rPr>
                <w:b/>
                <w:sz w:val="22"/>
                <w:szCs w:val="22"/>
              </w:rPr>
              <w:t>Delivery form</w:t>
            </w:r>
          </w:p>
        </w:tc>
        <w:tc>
          <w:tcPr>
            <w:tcW w:w="1984" w:type="dxa"/>
            <w:tcBorders>
              <w:top w:val="single" w:sz="4" w:space="0" w:color="auto"/>
            </w:tcBorders>
            <w:shd w:val="clear" w:color="auto" w:fill="EDEDED" w:themeFill="accent3" w:themeFillTint="33"/>
          </w:tcPr>
          <w:p w14:paraId="6BF4A8B7" w14:textId="77777777" w:rsidR="00934EFA" w:rsidRPr="002D075C" w:rsidRDefault="00934EFA" w:rsidP="00297EDB">
            <w:pPr>
              <w:tabs>
                <w:tab w:val="left" w:pos="1134"/>
              </w:tabs>
              <w:rPr>
                <w:b/>
                <w:sz w:val="22"/>
                <w:szCs w:val="22"/>
              </w:rPr>
            </w:pPr>
            <w:r w:rsidRPr="002D075C">
              <w:rPr>
                <w:b/>
                <w:sz w:val="22"/>
                <w:szCs w:val="22"/>
              </w:rPr>
              <w:t>Organization type</w:t>
            </w:r>
          </w:p>
        </w:tc>
      </w:tr>
      <w:tr w:rsidR="00934EFA" w:rsidRPr="002D075C" w14:paraId="5B833948" w14:textId="77777777" w:rsidTr="002D075C">
        <w:trPr>
          <w:trHeight w:val="721"/>
        </w:trPr>
        <w:tc>
          <w:tcPr>
            <w:tcW w:w="2132" w:type="dxa"/>
            <w:tcBorders>
              <w:bottom w:val="single" w:sz="4" w:space="0" w:color="auto"/>
            </w:tcBorders>
          </w:tcPr>
          <w:p w14:paraId="3403EF10" w14:textId="77777777" w:rsidR="00934EFA" w:rsidRPr="002D075C" w:rsidRDefault="00934EFA" w:rsidP="00E04450">
            <w:pPr>
              <w:tabs>
                <w:tab w:val="left" w:pos="1134"/>
              </w:tabs>
              <w:rPr>
                <w:sz w:val="22"/>
                <w:szCs w:val="22"/>
              </w:rPr>
            </w:pPr>
            <w:r w:rsidRPr="002D075C">
              <w:rPr>
                <w:sz w:val="22"/>
                <w:szCs w:val="22"/>
              </w:rPr>
              <w:t xml:space="preserve">Online hypermarkets </w:t>
            </w:r>
          </w:p>
        </w:tc>
        <w:tc>
          <w:tcPr>
            <w:tcW w:w="1559" w:type="dxa"/>
            <w:tcBorders>
              <w:bottom w:val="single" w:sz="4" w:space="0" w:color="auto"/>
            </w:tcBorders>
          </w:tcPr>
          <w:p w14:paraId="15F710EE" w14:textId="77777777" w:rsidR="00934EFA" w:rsidRPr="002D075C" w:rsidRDefault="00096EBB" w:rsidP="00E04450">
            <w:pPr>
              <w:tabs>
                <w:tab w:val="left" w:pos="1134"/>
              </w:tabs>
              <w:rPr>
                <w:i/>
                <w:sz w:val="22"/>
                <w:szCs w:val="22"/>
                <w:lang w:val="nb-NO"/>
              </w:rPr>
            </w:pPr>
            <w:hyperlink r:id="rId13" w:history="1">
              <w:r w:rsidR="00934EFA" w:rsidRPr="002D075C">
                <w:rPr>
                  <w:rStyle w:val="Hyperkobling"/>
                  <w:i/>
                  <w:sz w:val="22"/>
                  <w:szCs w:val="22"/>
                  <w:lang w:val="nb-NO"/>
                </w:rPr>
                <w:t>Kolonial</w:t>
              </w:r>
            </w:hyperlink>
          </w:p>
          <w:p w14:paraId="42514551" w14:textId="77777777" w:rsidR="00934EFA" w:rsidRPr="002D075C" w:rsidRDefault="00096EBB" w:rsidP="00E04450">
            <w:pPr>
              <w:tabs>
                <w:tab w:val="left" w:pos="1134"/>
              </w:tabs>
              <w:rPr>
                <w:rStyle w:val="Hyperkobling"/>
                <w:i/>
                <w:sz w:val="22"/>
                <w:szCs w:val="22"/>
                <w:lang w:val="nb-NO"/>
              </w:rPr>
            </w:pPr>
            <w:hyperlink r:id="rId14" w:history="1">
              <w:r w:rsidR="00934EFA" w:rsidRPr="002D075C">
                <w:rPr>
                  <w:rStyle w:val="Hyperkobling"/>
                  <w:i/>
                  <w:sz w:val="22"/>
                  <w:szCs w:val="22"/>
                  <w:lang w:val="nb-NO"/>
                </w:rPr>
                <w:t>Rett hjem</w:t>
              </w:r>
            </w:hyperlink>
          </w:p>
          <w:p w14:paraId="42DCF983" w14:textId="77777777" w:rsidR="00934EFA" w:rsidRPr="002D075C" w:rsidRDefault="00096EBB" w:rsidP="00E04450">
            <w:pPr>
              <w:tabs>
                <w:tab w:val="left" w:pos="1134"/>
              </w:tabs>
              <w:rPr>
                <w:sz w:val="22"/>
                <w:szCs w:val="22"/>
                <w:lang w:val="nb-NO"/>
              </w:rPr>
            </w:pPr>
            <w:hyperlink r:id="rId15" w:history="1">
              <w:r w:rsidR="00934EFA" w:rsidRPr="002D075C">
                <w:rPr>
                  <w:rStyle w:val="Hyperkobling"/>
                  <w:i/>
                  <w:sz w:val="22"/>
                  <w:szCs w:val="22"/>
                  <w:lang w:val="nb-NO"/>
                </w:rPr>
                <w:t>Engros Nett</w:t>
              </w:r>
            </w:hyperlink>
          </w:p>
        </w:tc>
        <w:tc>
          <w:tcPr>
            <w:tcW w:w="1417" w:type="dxa"/>
            <w:tcBorders>
              <w:bottom w:val="single" w:sz="4" w:space="0" w:color="auto"/>
            </w:tcBorders>
          </w:tcPr>
          <w:p w14:paraId="325CDC33" w14:textId="77777777" w:rsidR="00934EFA" w:rsidRPr="002D075C" w:rsidRDefault="00934EFA" w:rsidP="00E04450">
            <w:pPr>
              <w:tabs>
                <w:tab w:val="left" w:pos="1134"/>
              </w:tabs>
              <w:jc w:val="both"/>
              <w:rPr>
                <w:sz w:val="22"/>
                <w:szCs w:val="22"/>
              </w:rPr>
            </w:pPr>
            <w:r w:rsidRPr="002D075C">
              <w:rPr>
                <w:sz w:val="22"/>
                <w:szCs w:val="22"/>
              </w:rPr>
              <w:t>Websites</w:t>
            </w:r>
          </w:p>
          <w:p w14:paraId="2F78608D" w14:textId="77777777" w:rsidR="00934EFA" w:rsidRPr="002D075C" w:rsidRDefault="00934EFA" w:rsidP="00E04450">
            <w:pPr>
              <w:tabs>
                <w:tab w:val="left" w:pos="1134"/>
              </w:tabs>
              <w:jc w:val="both"/>
              <w:rPr>
                <w:sz w:val="22"/>
                <w:szCs w:val="22"/>
              </w:rPr>
            </w:pPr>
            <w:r w:rsidRPr="002D075C">
              <w:rPr>
                <w:sz w:val="22"/>
                <w:szCs w:val="22"/>
              </w:rPr>
              <w:t>Apps</w:t>
            </w:r>
          </w:p>
          <w:p w14:paraId="381CDAC3" w14:textId="77777777" w:rsidR="00934EFA" w:rsidRPr="002D075C" w:rsidRDefault="00934EFA" w:rsidP="00E04450">
            <w:pPr>
              <w:tabs>
                <w:tab w:val="left" w:pos="1134"/>
              </w:tabs>
              <w:jc w:val="both"/>
              <w:rPr>
                <w:sz w:val="22"/>
                <w:szCs w:val="22"/>
              </w:rPr>
            </w:pPr>
            <w:r w:rsidRPr="002D075C">
              <w:rPr>
                <w:sz w:val="22"/>
                <w:szCs w:val="22"/>
              </w:rPr>
              <w:t>Social media</w:t>
            </w:r>
          </w:p>
        </w:tc>
        <w:tc>
          <w:tcPr>
            <w:tcW w:w="1985" w:type="dxa"/>
            <w:tcBorders>
              <w:bottom w:val="single" w:sz="4" w:space="0" w:color="auto"/>
            </w:tcBorders>
          </w:tcPr>
          <w:p w14:paraId="46014700" w14:textId="77777777" w:rsidR="00934EFA" w:rsidRPr="002D075C" w:rsidRDefault="00934EFA" w:rsidP="00E04450">
            <w:pPr>
              <w:tabs>
                <w:tab w:val="left" w:pos="1134"/>
              </w:tabs>
              <w:jc w:val="both"/>
              <w:rPr>
                <w:sz w:val="22"/>
                <w:szCs w:val="22"/>
              </w:rPr>
            </w:pPr>
            <w:r w:rsidRPr="002D075C">
              <w:rPr>
                <w:sz w:val="22"/>
                <w:szCs w:val="22"/>
              </w:rPr>
              <w:t>Home delivery</w:t>
            </w:r>
          </w:p>
          <w:p w14:paraId="3A0DB4E0" w14:textId="77777777" w:rsidR="00934EFA" w:rsidRPr="002D075C" w:rsidRDefault="00934EFA" w:rsidP="00E04450">
            <w:pPr>
              <w:tabs>
                <w:tab w:val="left" w:pos="1134"/>
              </w:tabs>
              <w:jc w:val="both"/>
              <w:rPr>
                <w:sz w:val="22"/>
                <w:szCs w:val="22"/>
              </w:rPr>
            </w:pPr>
            <w:r w:rsidRPr="002D075C">
              <w:rPr>
                <w:sz w:val="22"/>
                <w:szCs w:val="22"/>
              </w:rPr>
              <w:t>Click and collect</w:t>
            </w:r>
          </w:p>
        </w:tc>
        <w:tc>
          <w:tcPr>
            <w:tcW w:w="1984" w:type="dxa"/>
            <w:tcBorders>
              <w:bottom w:val="single" w:sz="4" w:space="0" w:color="auto"/>
            </w:tcBorders>
          </w:tcPr>
          <w:p w14:paraId="3AE0C21A" w14:textId="77777777" w:rsidR="00934EFA" w:rsidRPr="002D075C" w:rsidRDefault="00934EFA" w:rsidP="00E04450">
            <w:pPr>
              <w:tabs>
                <w:tab w:val="left" w:pos="1134"/>
              </w:tabs>
              <w:jc w:val="both"/>
              <w:rPr>
                <w:sz w:val="22"/>
                <w:szCs w:val="22"/>
              </w:rPr>
            </w:pPr>
            <w:r w:rsidRPr="002D075C">
              <w:rPr>
                <w:sz w:val="22"/>
                <w:szCs w:val="22"/>
              </w:rPr>
              <w:t>Enterprise, cooperative</w:t>
            </w:r>
          </w:p>
        </w:tc>
      </w:tr>
      <w:tr w:rsidR="00934EFA" w:rsidRPr="002D075C" w14:paraId="754B4334" w14:textId="77777777" w:rsidTr="002D075C">
        <w:trPr>
          <w:trHeight w:val="707"/>
        </w:trPr>
        <w:tc>
          <w:tcPr>
            <w:tcW w:w="2132" w:type="dxa"/>
            <w:tcBorders>
              <w:top w:val="single" w:sz="4" w:space="0" w:color="auto"/>
              <w:bottom w:val="single" w:sz="4" w:space="0" w:color="auto"/>
            </w:tcBorders>
          </w:tcPr>
          <w:p w14:paraId="54397731" w14:textId="77777777" w:rsidR="00934EFA" w:rsidRPr="002D075C" w:rsidRDefault="00934EFA" w:rsidP="00E04450">
            <w:pPr>
              <w:tabs>
                <w:tab w:val="left" w:pos="1134"/>
              </w:tabs>
              <w:contextualSpacing/>
              <w:rPr>
                <w:sz w:val="22"/>
                <w:szCs w:val="22"/>
              </w:rPr>
            </w:pPr>
            <w:r w:rsidRPr="002D075C">
              <w:rPr>
                <w:sz w:val="22"/>
                <w:szCs w:val="22"/>
              </w:rPr>
              <w:lastRenderedPageBreak/>
              <w:t xml:space="preserve">Online niche stores </w:t>
            </w:r>
          </w:p>
        </w:tc>
        <w:tc>
          <w:tcPr>
            <w:tcW w:w="1559" w:type="dxa"/>
            <w:tcBorders>
              <w:top w:val="single" w:sz="4" w:space="0" w:color="auto"/>
              <w:bottom w:val="single" w:sz="4" w:space="0" w:color="auto"/>
            </w:tcBorders>
          </w:tcPr>
          <w:p w14:paraId="3B9E6C31" w14:textId="77777777" w:rsidR="00934EFA" w:rsidRPr="002D075C" w:rsidRDefault="00096EBB" w:rsidP="009E3659">
            <w:pPr>
              <w:tabs>
                <w:tab w:val="left" w:pos="1134"/>
              </w:tabs>
              <w:rPr>
                <w:i/>
                <w:sz w:val="22"/>
                <w:szCs w:val="22"/>
              </w:rPr>
            </w:pPr>
            <w:hyperlink r:id="rId16" w:history="1">
              <w:r w:rsidR="00934EFA" w:rsidRPr="002D075C">
                <w:rPr>
                  <w:rStyle w:val="Hyperkobling"/>
                  <w:i/>
                  <w:sz w:val="22"/>
                  <w:szCs w:val="22"/>
                </w:rPr>
                <w:t>Spekehuset</w:t>
              </w:r>
            </w:hyperlink>
          </w:p>
          <w:p w14:paraId="47A96207" w14:textId="77777777" w:rsidR="00934EFA" w:rsidRPr="002D075C" w:rsidRDefault="00096EBB" w:rsidP="009E3659">
            <w:pPr>
              <w:tabs>
                <w:tab w:val="left" w:pos="1134"/>
              </w:tabs>
              <w:rPr>
                <w:rStyle w:val="Hyperkobling"/>
                <w:i/>
                <w:sz w:val="22"/>
                <w:szCs w:val="22"/>
              </w:rPr>
            </w:pPr>
            <w:hyperlink r:id="rId17" w:history="1">
              <w:r w:rsidR="00934EFA" w:rsidRPr="002D075C">
                <w:rPr>
                  <w:rStyle w:val="Hyperkobling"/>
                  <w:i/>
                  <w:sz w:val="22"/>
                  <w:szCs w:val="22"/>
                </w:rPr>
                <w:t>Fiskebilen</w:t>
              </w:r>
            </w:hyperlink>
          </w:p>
          <w:p w14:paraId="4822724C" w14:textId="77777777" w:rsidR="00934EFA" w:rsidRPr="002D075C" w:rsidRDefault="00096EBB" w:rsidP="009E3659">
            <w:pPr>
              <w:tabs>
                <w:tab w:val="left" w:pos="1134"/>
              </w:tabs>
              <w:rPr>
                <w:i/>
                <w:sz w:val="22"/>
                <w:szCs w:val="22"/>
              </w:rPr>
            </w:pPr>
            <w:hyperlink r:id="rId18" w:history="1">
              <w:r w:rsidR="00934EFA" w:rsidRPr="002D075C">
                <w:rPr>
                  <w:rStyle w:val="Hyperkobling"/>
                  <w:i/>
                  <w:sz w:val="22"/>
                  <w:szCs w:val="22"/>
                </w:rPr>
                <w:t>Naturbit</w:t>
              </w:r>
            </w:hyperlink>
          </w:p>
        </w:tc>
        <w:tc>
          <w:tcPr>
            <w:tcW w:w="1417" w:type="dxa"/>
            <w:tcBorders>
              <w:top w:val="single" w:sz="4" w:space="0" w:color="auto"/>
              <w:bottom w:val="single" w:sz="4" w:space="0" w:color="auto"/>
            </w:tcBorders>
          </w:tcPr>
          <w:p w14:paraId="6C879996" w14:textId="77777777" w:rsidR="00934EFA" w:rsidRPr="002D075C" w:rsidRDefault="00934EFA" w:rsidP="00E04450">
            <w:pPr>
              <w:tabs>
                <w:tab w:val="left" w:pos="1134"/>
              </w:tabs>
              <w:jc w:val="both"/>
              <w:rPr>
                <w:sz w:val="22"/>
                <w:szCs w:val="22"/>
              </w:rPr>
            </w:pPr>
            <w:r w:rsidRPr="002D075C">
              <w:rPr>
                <w:sz w:val="22"/>
                <w:szCs w:val="22"/>
              </w:rPr>
              <w:t xml:space="preserve">Websites </w:t>
            </w:r>
          </w:p>
        </w:tc>
        <w:tc>
          <w:tcPr>
            <w:tcW w:w="1985" w:type="dxa"/>
            <w:tcBorders>
              <w:top w:val="single" w:sz="4" w:space="0" w:color="auto"/>
              <w:bottom w:val="single" w:sz="4" w:space="0" w:color="auto"/>
            </w:tcBorders>
          </w:tcPr>
          <w:p w14:paraId="291BF060" w14:textId="77777777" w:rsidR="00934EFA" w:rsidRPr="002D075C" w:rsidRDefault="00934EFA" w:rsidP="00E04450">
            <w:pPr>
              <w:tabs>
                <w:tab w:val="left" w:pos="1134"/>
              </w:tabs>
              <w:jc w:val="both"/>
              <w:rPr>
                <w:sz w:val="22"/>
                <w:szCs w:val="22"/>
              </w:rPr>
            </w:pPr>
            <w:r w:rsidRPr="002D075C">
              <w:rPr>
                <w:sz w:val="22"/>
                <w:szCs w:val="22"/>
              </w:rPr>
              <w:t xml:space="preserve">Home delivery </w:t>
            </w:r>
          </w:p>
        </w:tc>
        <w:tc>
          <w:tcPr>
            <w:tcW w:w="1984" w:type="dxa"/>
            <w:tcBorders>
              <w:top w:val="single" w:sz="4" w:space="0" w:color="auto"/>
              <w:bottom w:val="single" w:sz="4" w:space="0" w:color="auto"/>
            </w:tcBorders>
          </w:tcPr>
          <w:p w14:paraId="2FE16778" w14:textId="77777777" w:rsidR="00934EFA" w:rsidRPr="002D075C" w:rsidRDefault="00934EFA" w:rsidP="00F01969">
            <w:pPr>
              <w:tabs>
                <w:tab w:val="left" w:pos="1134"/>
              </w:tabs>
              <w:jc w:val="both"/>
              <w:rPr>
                <w:sz w:val="22"/>
                <w:szCs w:val="22"/>
              </w:rPr>
            </w:pPr>
            <w:r w:rsidRPr="002D075C">
              <w:rPr>
                <w:sz w:val="22"/>
                <w:szCs w:val="22"/>
              </w:rPr>
              <w:t>Enterprise</w:t>
            </w:r>
          </w:p>
        </w:tc>
      </w:tr>
      <w:tr w:rsidR="00934EFA" w:rsidRPr="002D075C" w14:paraId="2A9D3A31" w14:textId="77777777" w:rsidTr="002D075C">
        <w:trPr>
          <w:trHeight w:val="548"/>
        </w:trPr>
        <w:tc>
          <w:tcPr>
            <w:tcW w:w="2132" w:type="dxa"/>
            <w:tcBorders>
              <w:top w:val="single" w:sz="4" w:space="0" w:color="auto"/>
              <w:bottom w:val="single" w:sz="4" w:space="0" w:color="auto"/>
            </w:tcBorders>
          </w:tcPr>
          <w:p w14:paraId="635E0F36" w14:textId="77777777" w:rsidR="00934EFA" w:rsidRPr="002D075C" w:rsidRDefault="00934EFA" w:rsidP="001140FC">
            <w:pPr>
              <w:tabs>
                <w:tab w:val="left" w:pos="1134"/>
              </w:tabs>
              <w:rPr>
                <w:sz w:val="22"/>
                <w:szCs w:val="22"/>
              </w:rPr>
            </w:pPr>
            <w:r w:rsidRPr="002D075C">
              <w:rPr>
                <w:sz w:val="22"/>
                <w:szCs w:val="22"/>
              </w:rPr>
              <w:t xml:space="preserve">Box delivery </w:t>
            </w:r>
          </w:p>
        </w:tc>
        <w:tc>
          <w:tcPr>
            <w:tcW w:w="1559" w:type="dxa"/>
            <w:tcBorders>
              <w:top w:val="single" w:sz="4" w:space="0" w:color="auto"/>
              <w:bottom w:val="single" w:sz="4" w:space="0" w:color="auto"/>
            </w:tcBorders>
          </w:tcPr>
          <w:p w14:paraId="2A7A650F" w14:textId="77777777" w:rsidR="00934EFA" w:rsidRPr="002D075C" w:rsidRDefault="00096EBB" w:rsidP="00E04450">
            <w:pPr>
              <w:tabs>
                <w:tab w:val="left" w:pos="1134"/>
              </w:tabs>
              <w:rPr>
                <w:i/>
                <w:sz w:val="22"/>
                <w:szCs w:val="22"/>
              </w:rPr>
            </w:pPr>
            <w:hyperlink r:id="rId19" w:history="1">
              <w:r w:rsidR="00934EFA" w:rsidRPr="002D075C">
                <w:rPr>
                  <w:rStyle w:val="Hyperkobling"/>
                  <w:i/>
                  <w:sz w:val="22"/>
                  <w:szCs w:val="22"/>
                </w:rPr>
                <w:t>GodtLevert</w:t>
              </w:r>
            </w:hyperlink>
          </w:p>
          <w:p w14:paraId="3483AD24" w14:textId="77777777" w:rsidR="00934EFA" w:rsidRPr="002D075C" w:rsidRDefault="00096EBB" w:rsidP="00E04450">
            <w:pPr>
              <w:tabs>
                <w:tab w:val="left" w:pos="1134"/>
              </w:tabs>
              <w:rPr>
                <w:rStyle w:val="Hyperkobling"/>
                <w:i/>
                <w:sz w:val="22"/>
                <w:szCs w:val="22"/>
              </w:rPr>
            </w:pPr>
            <w:hyperlink r:id="rId20" w:history="1">
              <w:r w:rsidR="00934EFA" w:rsidRPr="002D075C">
                <w:rPr>
                  <w:rStyle w:val="Hyperkobling"/>
                  <w:i/>
                  <w:sz w:val="22"/>
                  <w:szCs w:val="22"/>
                </w:rPr>
                <w:t>Nettmat</w:t>
              </w:r>
            </w:hyperlink>
          </w:p>
          <w:p w14:paraId="3A961CDD" w14:textId="77777777" w:rsidR="00934EFA" w:rsidRPr="002D075C" w:rsidRDefault="00096EBB" w:rsidP="00E04450">
            <w:pPr>
              <w:tabs>
                <w:tab w:val="left" w:pos="1134"/>
              </w:tabs>
              <w:rPr>
                <w:i/>
                <w:sz w:val="22"/>
                <w:szCs w:val="22"/>
              </w:rPr>
            </w:pPr>
            <w:hyperlink r:id="rId21" w:history="1">
              <w:r w:rsidR="00934EFA" w:rsidRPr="002D075C">
                <w:rPr>
                  <w:rStyle w:val="Hyperkobling"/>
                  <w:i/>
                  <w:sz w:val="22"/>
                  <w:szCs w:val="22"/>
                </w:rPr>
                <w:t>Proviant</w:t>
              </w:r>
            </w:hyperlink>
          </w:p>
        </w:tc>
        <w:tc>
          <w:tcPr>
            <w:tcW w:w="1417" w:type="dxa"/>
            <w:tcBorders>
              <w:top w:val="single" w:sz="4" w:space="0" w:color="auto"/>
              <w:bottom w:val="single" w:sz="4" w:space="0" w:color="auto"/>
            </w:tcBorders>
          </w:tcPr>
          <w:p w14:paraId="2BDE1B82" w14:textId="77777777" w:rsidR="00934EFA" w:rsidRPr="002D075C" w:rsidRDefault="00934EFA" w:rsidP="00E04450">
            <w:pPr>
              <w:tabs>
                <w:tab w:val="left" w:pos="1134"/>
              </w:tabs>
              <w:jc w:val="both"/>
              <w:rPr>
                <w:sz w:val="22"/>
                <w:szCs w:val="22"/>
              </w:rPr>
            </w:pPr>
            <w:r w:rsidRPr="002D075C">
              <w:rPr>
                <w:sz w:val="22"/>
                <w:szCs w:val="22"/>
              </w:rPr>
              <w:t>Websites</w:t>
            </w:r>
          </w:p>
          <w:p w14:paraId="02D2202C" w14:textId="77777777" w:rsidR="00934EFA" w:rsidRPr="002D075C" w:rsidRDefault="00934EFA" w:rsidP="00E04450">
            <w:pPr>
              <w:tabs>
                <w:tab w:val="left" w:pos="1134"/>
              </w:tabs>
              <w:jc w:val="both"/>
              <w:rPr>
                <w:sz w:val="22"/>
                <w:szCs w:val="22"/>
              </w:rPr>
            </w:pPr>
            <w:r w:rsidRPr="002D075C">
              <w:rPr>
                <w:sz w:val="22"/>
                <w:szCs w:val="22"/>
              </w:rPr>
              <w:t>Social media</w:t>
            </w:r>
          </w:p>
          <w:p w14:paraId="5228F892" w14:textId="77777777" w:rsidR="00934EFA" w:rsidRPr="002D075C" w:rsidRDefault="00934EFA" w:rsidP="00E04450">
            <w:pPr>
              <w:tabs>
                <w:tab w:val="left" w:pos="1134"/>
              </w:tabs>
              <w:jc w:val="both"/>
              <w:rPr>
                <w:sz w:val="22"/>
                <w:szCs w:val="22"/>
              </w:rPr>
            </w:pPr>
          </w:p>
        </w:tc>
        <w:tc>
          <w:tcPr>
            <w:tcW w:w="1985" w:type="dxa"/>
            <w:tcBorders>
              <w:top w:val="single" w:sz="4" w:space="0" w:color="auto"/>
              <w:bottom w:val="single" w:sz="4" w:space="0" w:color="auto"/>
            </w:tcBorders>
          </w:tcPr>
          <w:p w14:paraId="08D4E8EA" w14:textId="77777777" w:rsidR="00934EFA" w:rsidRPr="002D075C" w:rsidRDefault="00934EFA" w:rsidP="00E04450">
            <w:pPr>
              <w:tabs>
                <w:tab w:val="left" w:pos="1134"/>
              </w:tabs>
              <w:jc w:val="both"/>
              <w:rPr>
                <w:sz w:val="22"/>
                <w:szCs w:val="22"/>
              </w:rPr>
            </w:pPr>
            <w:r w:rsidRPr="002D075C">
              <w:rPr>
                <w:sz w:val="22"/>
                <w:szCs w:val="22"/>
              </w:rPr>
              <w:t>Home delivery</w:t>
            </w:r>
          </w:p>
          <w:p w14:paraId="6AF80464" w14:textId="77777777" w:rsidR="00934EFA" w:rsidRPr="002D075C" w:rsidRDefault="00934EFA" w:rsidP="00E04450">
            <w:pPr>
              <w:tabs>
                <w:tab w:val="left" w:pos="1134"/>
              </w:tabs>
              <w:jc w:val="both"/>
              <w:rPr>
                <w:sz w:val="22"/>
                <w:szCs w:val="22"/>
              </w:rPr>
            </w:pPr>
            <w:r w:rsidRPr="002D075C">
              <w:rPr>
                <w:sz w:val="22"/>
                <w:szCs w:val="22"/>
              </w:rPr>
              <w:t>Click and collect</w:t>
            </w:r>
          </w:p>
        </w:tc>
        <w:tc>
          <w:tcPr>
            <w:tcW w:w="1984" w:type="dxa"/>
            <w:tcBorders>
              <w:top w:val="single" w:sz="4" w:space="0" w:color="auto"/>
              <w:bottom w:val="single" w:sz="4" w:space="0" w:color="auto"/>
            </w:tcBorders>
          </w:tcPr>
          <w:p w14:paraId="47CD50B0" w14:textId="77777777" w:rsidR="00934EFA" w:rsidRPr="002D075C" w:rsidRDefault="00934EFA" w:rsidP="00E04450">
            <w:pPr>
              <w:tabs>
                <w:tab w:val="left" w:pos="1134"/>
              </w:tabs>
              <w:jc w:val="both"/>
              <w:rPr>
                <w:sz w:val="22"/>
                <w:szCs w:val="22"/>
              </w:rPr>
            </w:pPr>
            <w:r w:rsidRPr="002D075C">
              <w:rPr>
                <w:sz w:val="22"/>
                <w:szCs w:val="22"/>
              </w:rPr>
              <w:t>Enterprise</w:t>
            </w:r>
          </w:p>
        </w:tc>
      </w:tr>
      <w:tr w:rsidR="00934EFA" w:rsidRPr="002D075C" w14:paraId="1790148A" w14:textId="77777777" w:rsidTr="002D075C">
        <w:trPr>
          <w:trHeight w:val="556"/>
        </w:trPr>
        <w:tc>
          <w:tcPr>
            <w:tcW w:w="2132" w:type="dxa"/>
            <w:tcBorders>
              <w:top w:val="single" w:sz="4" w:space="0" w:color="auto"/>
              <w:bottom w:val="single" w:sz="4" w:space="0" w:color="auto"/>
            </w:tcBorders>
          </w:tcPr>
          <w:p w14:paraId="6CCE43DD" w14:textId="77777777" w:rsidR="00934EFA" w:rsidRPr="002D075C" w:rsidRDefault="00934EFA" w:rsidP="00E04450">
            <w:pPr>
              <w:tabs>
                <w:tab w:val="left" w:pos="1134"/>
              </w:tabs>
              <w:rPr>
                <w:sz w:val="22"/>
                <w:szCs w:val="22"/>
              </w:rPr>
            </w:pPr>
            <w:r w:rsidRPr="002D075C">
              <w:rPr>
                <w:sz w:val="22"/>
                <w:szCs w:val="22"/>
              </w:rPr>
              <w:t>Ready-made meals platforms</w:t>
            </w:r>
          </w:p>
        </w:tc>
        <w:tc>
          <w:tcPr>
            <w:tcW w:w="1559" w:type="dxa"/>
            <w:tcBorders>
              <w:top w:val="single" w:sz="4" w:space="0" w:color="auto"/>
              <w:bottom w:val="single" w:sz="4" w:space="0" w:color="auto"/>
            </w:tcBorders>
          </w:tcPr>
          <w:p w14:paraId="400E5BDD" w14:textId="77777777" w:rsidR="00934EFA" w:rsidRPr="002D075C" w:rsidRDefault="00096EBB" w:rsidP="00E04450">
            <w:pPr>
              <w:tabs>
                <w:tab w:val="left" w:pos="1134"/>
              </w:tabs>
              <w:rPr>
                <w:i/>
                <w:sz w:val="22"/>
                <w:szCs w:val="22"/>
              </w:rPr>
            </w:pPr>
            <w:hyperlink r:id="rId22" w:history="1">
              <w:r w:rsidR="00934EFA" w:rsidRPr="002D075C">
                <w:rPr>
                  <w:rStyle w:val="Hyperkobling"/>
                  <w:i/>
                  <w:sz w:val="22"/>
                  <w:szCs w:val="22"/>
                </w:rPr>
                <w:t>Foodora</w:t>
              </w:r>
            </w:hyperlink>
          </w:p>
          <w:p w14:paraId="01E6FA64" w14:textId="77777777" w:rsidR="00934EFA" w:rsidRPr="002D075C" w:rsidRDefault="00096EBB" w:rsidP="00E04450">
            <w:pPr>
              <w:tabs>
                <w:tab w:val="left" w:pos="1134"/>
              </w:tabs>
              <w:rPr>
                <w:rStyle w:val="Hyperkobling"/>
                <w:i/>
                <w:sz w:val="22"/>
                <w:szCs w:val="22"/>
              </w:rPr>
            </w:pPr>
            <w:hyperlink r:id="rId23" w:history="1">
              <w:r w:rsidR="00934EFA" w:rsidRPr="002D075C">
                <w:rPr>
                  <w:rStyle w:val="Hyperkobling"/>
                  <w:i/>
                  <w:sz w:val="22"/>
                  <w:szCs w:val="22"/>
                </w:rPr>
                <w:t>Just Eat</w:t>
              </w:r>
            </w:hyperlink>
          </w:p>
          <w:p w14:paraId="15207E49" w14:textId="77777777" w:rsidR="00934EFA" w:rsidRPr="002D075C" w:rsidRDefault="00096EBB" w:rsidP="00E04450">
            <w:pPr>
              <w:tabs>
                <w:tab w:val="left" w:pos="1134"/>
              </w:tabs>
              <w:rPr>
                <w:i/>
                <w:color w:val="0000FF"/>
                <w:sz w:val="22"/>
                <w:szCs w:val="22"/>
                <w:u w:val="single"/>
              </w:rPr>
            </w:pPr>
            <w:hyperlink r:id="rId24" w:history="1">
              <w:r w:rsidR="00934EFA" w:rsidRPr="002D075C">
                <w:rPr>
                  <w:rStyle w:val="Hyperkobling"/>
                  <w:i/>
                  <w:sz w:val="22"/>
                  <w:szCs w:val="22"/>
                </w:rPr>
                <w:t>Wolt</w:t>
              </w:r>
            </w:hyperlink>
          </w:p>
        </w:tc>
        <w:tc>
          <w:tcPr>
            <w:tcW w:w="1417" w:type="dxa"/>
            <w:tcBorders>
              <w:top w:val="single" w:sz="4" w:space="0" w:color="auto"/>
              <w:bottom w:val="single" w:sz="4" w:space="0" w:color="auto"/>
            </w:tcBorders>
          </w:tcPr>
          <w:p w14:paraId="1A997397" w14:textId="77777777" w:rsidR="00934EFA" w:rsidRPr="002D075C" w:rsidRDefault="00934EFA" w:rsidP="00E04450">
            <w:pPr>
              <w:tabs>
                <w:tab w:val="left" w:pos="1134"/>
              </w:tabs>
              <w:jc w:val="both"/>
              <w:rPr>
                <w:sz w:val="22"/>
                <w:szCs w:val="22"/>
              </w:rPr>
            </w:pPr>
            <w:r w:rsidRPr="002D075C">
              <w:rPr>
                <w:sz w:val="22"/>
                <w:szCs w:val="22"/>
              </w:rPr>
              <w:t>Apps</w:t>
            </w:r>
          </w:p>
          <w:p w14:paraId="0BF433C3" w14:textId="77777777" w:rsidR="00934EFA" w:rsidRPr="002D075C" w:rsidRDefault="00934EFA" w:rsidP="00E04450">
            <w:pPr>
              <w:tabs>
                <w:tab w:val="left" w:pos="1134"/>
              </w:tabs>
              <w:jc w:val="both"/>
              <w:rPr>
                <w:sz w:val="22"/>
                <w:szCs w:val="22"/>
              </w:rPr>
            </w:pPr>
            <w:r w:rsidRPr="002D075C">
              <w:rPr>
                <w:sz w:val="22"/>
                <w:szCs w:val="22"/>
              </w:rPr>
              <w:t xml:space="preserve">Social media </w:t>
            </w:r>
          </w:p>
        </w:tc>
        <w:tc>
          <w:tcPr>
            <w:tcW w:w="1985" w:type="dxa"/>
            <w:tcBorders>
              <w:top w:val="single" w:sz="4" w:space="0" w:color="auto"/>
              <w:bottom w:val="single" w:sz="4" w:space="0" w:color="auto"/>
            </w:tcBorders>
          </w:tcPr>
          <w:p w14:paraId="32727364" w14:textId="77777777" w:rsidR="00934EFA" w:rsidRPr="002D075C" w:rsidRDefault="00934EFA" w:rsidP="00E04450">
            <w:pPr>
              <w:tabs>
                <w:tab w:val="left" w:pos="1134"/>
              </w:tabs>
              <w:jc w:val="both"/>
              <w:rPr>
                <w:sz w:val="22"/>
                <w:szCs w:val="22"/>
              </w:rPr>
            </w:pPr>
            <w:r w:rsidRPr="002D075C">
              <w:rPr>
                <w:sz w:val="22"/>
                <w:szCs w:val="22"/>
              </w:rPr>
              <w:t>Home delivery</w:t>
            </w:r>
          </w:p>
          <w:p w14:paraId="6BC19BF7" w14:textId="77777777" w:rsidR="00934EFA" w:rsidRPr="002D075C" w:rsidRDefault="00934EFA" w:rsidP="00E04450">
            <w:pPr>
              <w:tabs>
                <w:tab w:val="left" w:pos="1134"/>
              </w:tabs>
              <w:jc w:val="both"/>
              <w:rPr>
                <w:sz w:val="22"/>
                <w:szCs w:val="22"/>
              </w:rPr>
            </w:pPr>
            <w:r w:rsidRPr="002D075C">
              <w:rPr>
                <w:sz w:val="22"/>
                <w:szCs w:val="22"/>
              </w:rPr>
              <w:t>Click and collect</w:t>
            </w:r>
          </w:p>
        </w:tc>
        <w:tc>
          <w:tcPr>
            <w:tcW w:w="1984" w:type="dxa"/>
            <w:tcBorders>
              <w:top w:val="single" w:sz="4" w:space="0" w:color="auto"/>
              <w:bottom w:val="single" w:sz="4" w:space="0" w:color="auto"/>
            </w:tcBorders>
          </w:tcPr>
          <w:p w14:paraId="7D894E5C" w14:textId="77777777" w:rsidR="00934EFA" w:rsidRPr="002D075C" w:rsidRDefault="00934EFA" w:rsidP="00E04450">
            <w:pPr>
              <w:tabs>
                <w:tab w:val="left" w:pos="1134"/>
              </w:tabs>
              <w:jc w:val="both"/>
              <w:rPr>
                <w:sz w:val="22"/>
                <w:szCs w:val="22"/>
              </w:rPr>
            </w:pPr>
            <w:r w:rsidRPr="002D075C">
              <w:rPr>
                <w:sz w:val="22"/>
                <w:szCs w:val="22"/>
              </w:rPr>
              <w:t>Enterprise</w:t>
            </w:r>
          </w:p>
        </w:tc>
      </w:tr>
      <w:tr w:rsidR="00934EFA" w:rsidRPr="002D075C" w14:paraId="15E6C1B6" w14:textId="77777777" w:rsidTr="002D075C">
        <w:trPr>
          <w:trHeight w:val="556"/>
        </w:trPr>
        <w:tc>
          <w:tcPr>
            <w:tcW w:w="2132" w:type="dxa"/>
            <w:tcBorders>
              <w:top w:val="single" w:sz="4" w:space="0" w:color="auto"/>
              <w:bottom w:val="single" w:sz="4" w:space="0" w:color="auto"/>
            </w:tcBorders>
          </w:tcPr>
          <w:p w14:paraId="0D70A204" w14:textId="77777777" w:rsidR="00934EFA" w:rsidRPr="002D075C" w:rsidRDefault="00934EFA" w:rsidP="006E04FB">
            <w:pPr>
              <w:tabs>
                <w:tab w:val="left" w:pos="1134"/>
              </w:tabs>
              <w:rPr>
                <w:sz w:val="22"/>
                <w:szCs w:val="22"/>
                <w:highlight w:val="yellow"/>
              </w:rPr>
            </w:pPr>
            <w:r w:rsidRPr="002D075C">
              <w:rPr>
                <w:sz w:val="22"/>
                <w:szCs w:val="22"/>
              </w:rPr>
              <w:t>Online schemes for expiring food</w:t>
            </w:r>
          </w:p>
        </w:tc>
        <w:tc>
          <w:tcPr>
            <w:tcW w:w="1559" w:type="dxa"/>
            <w:tcBorders>
              <w:top w:val="single" w:sz="4" w:space="0" w:color="auto"/>
              <w:bottom w:val="single" w:sz="4" w:space="0" w:color="auto"/>
            </w:tcBorders>
          </w:tcPr>
          <w:p w14:paraId="3504298D" w14:textId="77777777" w:rsidR="00934EFA" w:rsidRPr="002D075C" w:rsidRDefault="00096EBB" w:rsidP="00E04450">
            <w:pPr>
              <w:tabs>
                <w:tab w:val="left" w:pos="1134"/>
              </w:tabs>
              <w:rPr>
                <w:i/>
                <w:sz w:val="22"/>
                <w:szCs w:val="22"/>
              </w:rPr>
            </w:pPr>
            <w:hyperlink r:id="rId25" w:history="1">
              <w:r w:rsidR="00934EFA" w:rsidRPr="002D075C">
                <w:rPr>
                  <w:rStyle w:val="Hyperkobling"/>
                  <w:i/>
                  <w:sz w:val="22"/>
                  <w:szCs w:val="22"/>
                </w:rPr>
                <w:t>TooGoodToGo</w:t>
              </w:r>
            </w:hyperlink>
          </w:p>
          <w:p w14:paraId="7BBAE59A" w14:textId="77777777" w:rsidR="00934EFA" w:rsidRPr="002D075C" w:rsidRDefault="00096EBB" w:rsidP="00E04450">
            <w:pPr>
              <w:tabs>
                <w:tab w:val="left" w:pos="1134"/>
              </w:tabs>
              <w:rPr>
                <w:rStyle w:val="Hyperkobling"/>
                <w:i/>
                <w:sz w:val="22"/>
                <w:szCs w:val="22"/>
              </w:rPr>
            </w:pPr>
            <w:hyperlink r:id="rId26" w:history="1">
              <w:r w:rsidR="00934EFA" w:rsidRPr="002D075C">
                <w:rPr>
                  <w:rStyle w:val="Hyperkobling"/>
                  <w:i/>
                  <w:sz w:val="22"/>
                  <w:szCs w:val="22"/>
                </w:rPr>
                <w:t>Holdbart</w:t>
              </w:r>
            </w:hyperlink>
          </w:p>
          <w:p w14:paraId="4C074DEA" w14:textId="77777777" w:rsidR="00934EFA" w:rsidRPr="002D075C" w:rsidRDefault="00096EBB" w:rsidP="000F1916">
            <w:pPr>
              <w:tabs>
                <w:tab w:val="left" w:pos="1134"/>
              </w:tabs>
              <w:rPr>
                <w:i/>
                <w:sz w:val="22"/>
                <w:szCs w:val="22"/>
              </w:rPr>
            </w:pPr>
            <w:hyperlink r:id="rId27" w:history="1">
              <w:r w:rsidR="00934EFA" w:rsidRPr="002D075C">
                <w:rPr>
                  <w:rStyle w:val="Hyperkobling"/>
                  <w:i/>
                  <w:sz w:val="22"/>
                  <w:szCs w:val="22"/>
                </w:rPr>
                <w:t>Matsmart</w:t>
              </w:r>
            </w:hyperlink>
          </w:p>
        </w:tc>
        <w:tc>
          <w:tcPr>
            <w:tcW w:w="1417" w:type="dxa"/>
            <w:tcBorders>
              <w:top w:val="single" w:sz="4" w:space="0" w:color="auto"/>
              <w:bottom w:val="single" w:sz="4" w:space="0" w:color="auto"/>
            </w:tcBorders>
          </w:tcPr>
          <w:p w14:paraId="4F44E558" w14:textId="77777777" w:rsidR="00934EFA" w:rsidRPr="002D075C" w:rsidRDefault="00934EFA" w:rsidP="00F5285B">
            <w:pPr>
              <w:tabs>
                <w:tab w:val="left" w:pos="1134"/>
              </w:tabs>
              <w:jc w:val="both"/>
              <w:rPr>
                <w:sz w:val="22"/>
                <w:szCs w:val="22"/>
              </w:rPr>
            </w:pPr>
            <w:r w:rsidRPr="002D075C">
              <w:rPr>
                <w:sz w:val="22"/>
                <w:szCs w:val="22"/>
              </w:rPr>
              <w:t xml:space="preserve">Apps </w:t>
            </w:r>
          </w:p>
          <w:p w14:paraId="211F4AEB" w14:textId="77777777" w:rsidR="00934EFA" w:rsidRPr="002D075C" w:rsidRDefault="00934EFA" w:rsidP="00F5285B">
            <w:pPr>
              <w:tabs>
                <w:tab w:val="left" w:pos="1134"/>
              </w:tabs>
              <w:jc w:val="both"/>
              <w:rPr>
                <w:sz w:val="22"/>
                <w:szCs w:val="22"/>
              </w:rPr>
            </w:pPr>
            <w:r w:rsidRPr="002D075C">
              <w:rPr>
                <w:sz w:val="22"/>
                <w:szCs w:val="22"/>
              </w:rPr>
              <w:t>Websites</w:t>
            </w:r>
          </w:p>
          <w:p w14:paraId="4889ED11" w14:textId="77777777" w:rsidR="00934EFA" w:rsidRPr="002D075C" w:rsidRDefault="00934EFA" w:rsidP="00F5285B">
            <w:pPr>
              <w:tabs>
                <w:tab w:val="left" w:pos="1134"/>
              </w:tabs>
              <w:jc w:val="both"/>
              <w:rPr>
                <w:sz w:val="22"/>
                <w:szCs w:val="22"/>
              </w:rPr>
            </w:pPr>
            <w:r w:rsidRPr="002D075C">
              <w:rPr>
                <w:sz w:val="22"/>
                <w:szCs w:val="22"/>
              </w:rPr>
              <w:t xml:space="preserve">Social media </w:t>
            </w:r>
          </w:p>
        </w:tc>
        <w:tc>
          <w:tcPr>
            <w:tcW w:w="1985" w:type="dxa"/>
            <w:tcBorders>
              <w:top w:val="single" w:sz="4" w:space="0" w:color="auto"/>
              <w:bottom w:val="single" w:sz="4" w:space="0" w:color="auto"/>
            </w:tcBorders>
          </w:tcPr>
          <w:p w14:paraId="6E587AE4" w14:textId="77777777" w:rsidR="00934EFA" w:rsidRPr="002D075C" w:rsidRDefault="00934EFA" w:rsidP="00E04450">
            <w:pPr>
              <w:tabs>
                <w:tab w:val="left" w:pos="1134"/>
              </w:tabs>
              <w:jc w:val="both"/>
              <w:rPr>
                <w:sz w:val="22"/>
                <w:szCs w:val="22"/>
              </w:rPr>
            </w:pPr>
            <w:r w:rsidRPr="002D075C">
              <w:rPr>
                <w:sz w:val="22"/>
                <w:szCs w:val="22"/>
              </w:rPr>
              <w:t>Click and collect</w:t>
            </w:r>
          </w:p>
          <w:p w14:paraId="536F753D" w14:textId="77777777" w:rsidR="00934EFA" w:rsidRPr="002D075C" w:rsidRDefault="00934EFA" w:rsidP="00E04450">
            <w:pPr>
              <w:tabs>
                <w:tab w:val="left" w:pos="1134"/>
              </w:tabs>
              <w:jc w:val="both"/>
              <w:rPr>
                <w:sz w:val="22"/>
                <w:szCs w:val="22"/>
              </w:rPr>
            </w:pPr>
            <w:r w:rsidRPr="002D075C">
              <w:rPr>
                <w:sz w:val="22"/>
                <w:szCs w:val="22"/>
              </w:rPr>
              <w:t>Home delivery</w:t>
            </w:r>
          </w:p>
        </w:tc>
        <w:tc>
          <w:tcPr>
            <w:tcW w:w="1984" w:type="dxa"/>
            <w:tcBorders>
              <w:top w:val="single" w:sz="4" w:space="0" w:color="auto"/>
              <w:bottom w:val="single" w:sz="4" w:space="0" w:color="auto"/>
            </w:tcBorders>
          </w:tcPr>
          <w:p w14:paraId="75F17B1A" w14:textId="77777777" w:rsidR="00934EFA" w:rsidRPr="002D075C" w:rsidRDefault="00934EFA" w:rsidP="00E04450">
            <w:pPr>
              <w:tabs>
                <w:tab w:val="left" w:pos="1134"/>
              </w:tabs>
              <w:jc w:val="both"/>
              <w:rPr>
                <w:sz w:val="22"/>
                <w:szCs w:val="22"/>
              </w:rPr>
            </w:pPr>
            <w:r w:rsidRPr="002D075C">
              <w:rPr>
                <w:sz w:val="22"/>
                <w:szCs w:val="22"/>
              </w:rPr>
              <w:t>Informal group/network</w:t>
            </w:r>
          </w:p>
          <w:p w14:paraId="4C0C7B65" w14:textId="77777777" w:rsidR="00934EFA" w:rsidRPr="002D075C" w:rsidRDefault="00934EFA" w:rsidP="00E04450">
            <w:pPr>
              <w:tabs>
                <w:tab w:val="left" w:pos="1134"/>
              </w:tabs>
              <w:jc w:val="both"/>
              <w:rPr>
                <w:sz w:val="22"/>
                <w:szCs w:val="22"/>
              </w:rPr>
            </w:pPr>
          </w:p>
        </w:tc>
      </w:tr>
    </w:tbl>
    <w:p w14:paraId="50A22BCC" w14:textId="77777777" w:rsidR="00934EFA" w:rsidRDefault="00934EFA" w:rsidP="009D68FC">
      <w:pPr>
        <w:rPr>
          <w:sz w:val="20"/>
          <w:szCs w:val="20"/>
          <w:lang w:val="en-US" w:eastAsia="en-US"/>
        </w:rPr>
      </w:pPr>
    </w:p>
    <w:p w14:paraId="7877124A" w14:textId="77777777" w:rsidR="00934EFA" w:rsidRPr="00C172D8" w:rsidRDefault="00934EFA" w:rsidP="009D68FC">
      <w:pPr>
        <w:rPr>
          <w:sz w:val="20"/>
          <w:szCs w:val="20"/>
          <w:lang w:val="en-US" w:eastAsia="en-US"/>
        </w:rPr>
      </w:pPr>
      <w:r>
        <w:rPr>
          <w:sz w:val="20"/>
          <w:szCs w:val="20"/>
          <w:lang w:val="en-US" w:eastAsia="en-US"/>
        </w:rPr>
        <w:t>Table 3</w:t>
      </w:r>
      <w:r w:rsidRPr="00C172D8">
        <w:rPr>
          <w:sz w:val="20"/>
          <w:szCs w:val="20"/>
          <w:lang w:val="en-US" w:eastAsia="en-US"/>
        </w:rPr>
        <w:t>. Online food supply channels in Norway.</w:t>
      </w:r>
    </w:p>
    <w:p w14:paraId="0B059147" w14:textId="54B65E3A" w:rsidR="00934EFA" w:rsidRDefault="00934EFA" w:rsidP="009D68FC">
      <w:pPr>
        <w:rPr>
          <w:sz w:val="22"/>
          <w:szCs w:val="22"/>
          <w:lang w:val="en-GB" w:eastAsia="en-US"/>
        </w:rPr>
      </w:pPr>
    </w:p>
    <w:p w14:paraId="7349C7AF" w14:textId="6FC9F78F" w:rsidR="00975C4F" w:rsidRPr="00975C4F" w:rsidRDefault="00975C4F" w:rsidP="009D68FC">
      <w:pPr>
        <w:rPr>
          <w:sz w:val="22"/>
          <w:szCs w:val="22"/>
          <w:lang w:val="en-US" w:eastAsia="en-US"/>
        </w:rPr>
      </w:pPr>
    </w:p>
    <w:p w14:paraId="6FA315F3" w14:textId="77777777" w:rsidR="00934EFA" w:rsidRPr="0055193B" w:rsidRDefault="00934EFA" w:rsidP="009A340C">
      <w:pPr>
        <w:pStyle w:val="Overskrift2"/>
        <w:spacing w:before="0" w:line="276" w:lineRule="auto"/>
        <w:rPr>
          <w:rFonts w:ascii="Times New Roman" w:hAnsi="Times New Roman" w:cs="Times New Roman"/>
          <w:b/>
          <w:color w:val="auto"/>
          <w:sz w:val="28"/>
          <w:szCs w:val="28"/>
          <w:lang w:val="en-US" w:eastAsia="en-US"/>
        </w:rPr>
      </w:pPr>
      <w:r w:rsidRPr="0055193B">
        <w:rPr>
          <w:rFonts w:ascii="Times New Roman" w:hAnsi="Times New Roman" w:cs="Times New Roman"/>
          <w:b/>
          <w:color w:val="auto"/>
          <w:sz w:val="28"/>
          <w:szCs w:val="28"/>
          <w:lang w:val="en-US" w:eastAsia="en-US"/>
        </w:rPr>
        <w:t xml:space="preserve">Potential establishment challenges </w:t>
      </w:r>
    </w:p>
    <w:p w14:paraId="5E8DFE37" w14:textId="77777777" w:rsidR="00934EFA" w:rsidRPr="0055193B" w:rsidRDefault="00934EFA" w:rsidP="00DE69F3">
      <w:pPr>
        <w:spacing w:line="276" w:lineRule="auto"/>
        <w:rPr>
          <w:lang w:val="en-US" w:eastAsia="en-US"/>
        </w:rPr>
      </w:pPr>
      <w:r>
        <w:rPr>
          <w:lang w:val="en-US" w:eastAsia="en-US"/>
        </w:rPr>
        <w:t xml:space="preserve">As previously mentioned, newcomers to the Norwegian food sector are likely to face difficulty becoming integrated due to the high level of concentration. A review of food market studies both at a national and an international level, find that the number of actors that can run profitably is limited. Additionally, Norway has generally fewer actors at the supplier-, retail-, and wholesale level compared to the standard of other countries </w:t>
      </w:r>
      <w:r>
        <w:rPr>
          <w:noProof/>
          <w:lang w:val="en-US" w:eastAsia="en-US"/>
        </w:rPr>
        <w:t>(Oslo Economics, 2017)</w:t>
      </w:r>
      <w:r>
        <w:rPr>
          <w:lang w:val="en-US" w:eastAsia="en-US"/>
        </w:rPr>
        <w:t>.</w:t>
      </w:r>
    </w:p>
    <w:p w14:paraId="085E7666" w14:textId="77777777" w:rsidR="00934EFA" w:rsidRDefault="00934EFA" w:rsidP="009A340C">
      <w:pPr>
        <w:spacing w:line="276" w:lineRule="auto"/>
        <w:rPr>
          <w:lang w:val="en-US" w:eastAsia="en-US"/>
        </w:rPr>
      </w:pPr>
    </w:p>
    <w:p w14:paraId="2AF0E88B" w14:textId="77777777" w:rsidR="00934EFA" w:rsidRPr="0055193B" w:rsidRDefault="00934EFA" w:rsidP="009A340C">
      <w:pPr>
        <w:spacing w:line="276" w:lineRule="auto"/>
        <w:rPr>
          <w:lang w:val="en-US" w:eastAsia="en-US"/>
        </w:rPr>
      </w:pPr>
      <w:r w:rsidRPr="0055193B">
        <w:rPr>
          <w:lang w:val="en-US" w:eastAsia="en-US"/>
        </w:rPr>
        <w:t xml:space="preserve">The most prominent establishment challenge appears to be relative gain from food volume procurement. Actors generally gain from purchasing large volumes from suppliers. This is due to margins at retail level being relatively low, as well as product costs forming a large share of total costs </w:t>
      </w:r>
      <w:r w:rsidRPr="0055193B">
        <w:rPr>
          <w:noProof/>
          <w:lang w:val="en-US" w:eastAsia="en-US"/>
        </w:rPr>
        <w:t>(Oslo Economics, 2017)</w:t>
      </w:r>
      <w:r w:rsidRPr="0055193B">
        <w:rPr>
          <w:lang w:val="en-US" w:eastAsia="en-US"/>
        </w:rPr>
        <w:t xml:space="preserve">. These relative volume gains make it especially challenging for small and </w:t>
      </w:r>
      <w:r>
        <w:rPr>
          <w:lang w:val="en-US" w:eastAsia="en-US"/>
        </w:rPr>
        <w:t>recently</w:t>
      </w:r>
      <w:r w:rsidRPr="0055193B">
        <w:rPr>
          <w:lang w:val="en-US" w:eastAsia="en-US"/>
        </w:rPr>
        <w:t xml:space="preserve"> established actors to acquire beneficial procurement conditions, as they compete with huge </w:t>
      </w:r>
      <w:r>
        <w:rPr>
          <w:lang w:val="en-US" w:eastAsia="en-US"/>
        </w:rPr>
        <w:t xml:space="preserve">retail groups </w:t>
      </w:r>
      <w:r w:rsidRPr="0055193B">
        <w:rPr>
          <w:lang w:val="en-US" w:eastAsia="en-US"/>
        </w:rPr>
        <w:t xml:space="preserve">and other large actors with a notably better market position. Another important challenge relates to the vertical integration of established actors, as this structure discourages independent wholesalers </w:t>
      </w:r>
      <w:r w:rsidRPr="0055193B">
        <w:rPr>
          <w:noProof/>
          <w:lang w:val="en-US" w:eastAsia="en-US"/>
        </w:rPr>
        <w:t>(Oslo Economics, 2017)</w:t>
      </w:r>
      <w:r w:rsidRPr="0055193B">
        <w:rPr>
          <w:lang w:val="en-US" w:eastAsia="en-US"/>
        </w:rPr>
        <w:t xml:space="preserve">. </w:t>
      </w:r>
      <w:r>
        <w:rPr>
          <w:lang w:val="en-US" w:eastAsia="en-US"/>
        </w:rPr>
        <w:t>However, digital innovations in the food market avoid at least one establishment challenge applicable to other newcomers, namely physical store locations as access to these are highly competitive.</w:t>
      </w:r>
    </w:p>
    <w:p w14:paraId="7715ECE4" w14:textId="77777777" w:rsidR="00934EFA" w:rsidRPr="0055193B" w:rsidRDefault="00934EFA" w:rsidP="009A340C">
      <w:pPr>
        <w:spacing w:line="276" w:lineRule="auto"/>
        <w:rPr>
          <w:lang w:val="en-US" w:eastAsia="en-US"/>
        </w:rPr>
      </w:pPr>
    </w:p>
    <w:p w14:paraId="1F2DE336" w14:textId="77777777" w:rsidR="00934EFA" w:rsidRDefault="00934EFA" w:rsidP="009A340C">
      <w:pPr>
        <w:spacing w:line="276" w:lineRule="auto"/>
        <w:rPr>
          <w:lang w:val="en-US" w:eastAsia="en-US"/>
        </w:rPr>
      </w:pPr>
      <w:r w:rsidRPr="0055193B">
        <w:rPr>
          <w:lang w:val="en-US" w:eastAsia="en-US"/>
        </w:rPr>
        <w:t xml:space="preserve">Despite the aforementioned challenges to </w:t>
      </w:r>
      <w:r>
        <w:rPr>
          <w:lang w:val="en-US" w:eastAsia="en-US"/>
        </w:rPr>
        <w:t>newcomers</w:t>
      </w:r>
      <w:r w:rsidRPr="0055193B">
        <w:rPr>
          <w:lang w:val="en-US" w:eastAsia="en-US"/>
        </w:rPr>
        <w:t xml:space="preserve"> in the Norwegian food distribution industry, actors trying to implement alternative distribution forms, such as online sales and box schemes, seem to have the largest potential impact on traditional food shopping </w:t>
      </w:r>
      <w:r w:rsidRPr="0055193B">
        <w:rPr>
          <w:noProof/>
          <w:lang w:val="en-US" w:eastAsia="en-US"/>
        </w:rPr>
        <w:t>(Oslo Economics, 2017)</w:t>
      </w:r>
      <w:r w:rsidRPr="0055193B">
        <w:rPr>
          <w:lang w:val="en-US" w:eastAsia="en-US"/>
        </w:rPr>
        <w:t>.</w:t>
      </w:r>
    </w:p>
    <w:p w14:paraId="3E72562D" w14:textId="77777777" w:rsidR="00934EFA" w:rsidRDefault="00934EFA" w:rsidP="009A340C">
      <w:pPr>
        <w:spacing w:line="276" w:lineRule="auto"/>
        <w:rPr>
          <w:sz w:val="22"/>
          <w:szCs w:val="22"/>
          <w:lang w:val="en-US" w:eastAsia="en-US"/>
        </w:rPr>
      </w:pPr>
    </w:p>
    <w:p w14:paraId="4360C1BB" w14:textId="77777777" w:rsidR="00934EFA" w:rsidRPr="009A340C" w:rsidRDefault="00934EFA" w:rsidP="009A340C">
      <w:pPr>
        <w:pStyle w:val="Overskrift1"/>
        <w:rPr>
          <w:rFonts w:ascii="Times New Roman" w:hAnsi="Times New Roman" w:cs="Times New Roman"/>
          <w:color w:val="auto"/>
          <w:lang w:val="en-US" w:eastAsia="en-US"/>
        </w:rPr>
      </w:pPr>
      <w:r w:rsidRPr="009A340C">
        <w:rPr>
          <w:rFonts w:ascii="Times New Roman" w:hAnsi="Times New Roman" w:cs="Times New Roman"/>
          <w:color w:val="auto"/>
          <w:lang w:val="en-US" w:eastAsia="en-US"/>
        </w:rPr>
        <w:t>Summary</w:t>
      </w:r>
    </w:p>
    <w:p w14:paraId="341E08C4" w14:textId="4D0E9C56" w:rsidR="00934EFA" w:rsidRPr="00101417" w:rsidRDefault="00934EFA" w:rsidP="009A340C">
      <w:pPr>
        <w:spacing w:line="276" w:lineRule="auto"/>
        <w:rPr>
          <w:lang w:val="en-US" w:eastAsia="en-US"/>
        </w:rPr>
      </w:pPr>
      <w:r w:rsidRPr="007A1A67">
        <w:rPr>
          <w:lang w:val="en-US" w:eastAsia="en-US"/>
        </w:rPr>
        <w:t xml:space="preserve">The </w:t>
      </w:r>
      <w:r w:rsidRPr="00576D15">
        <w:rPr>
          <w:lang w:val="en-US" w:eastAsia="en-US"/>
        </w:rPr>
        <w:t xml:space="preserve">Norwegian food sector </w:t>
      </w:r>
      <w:r>
        <w:rPr>
          <w:lang w:val="en-US" w:eastAsia="en-US"/>
        </w:rPr>
        <w:t>has</w:t>
      </w:r>
      <w:r w:rsidRPr="007A1A67">
        <w:rPr>
          <w:lang w:val="en-US" w:eastAsia="en-US"/>
        </w:rPr>
        <w:t xml:space="preserve"> experienced a relatively large and stable growth in recent years.</w:t>
      </w:r>
      <w:r>
        <w:rPr>
          <w:lang w:val="en-US" w:eastAsia="en-US"/>
        </w:rPr>
        <w:t xml:space="preserve"> The sector has</w:t>
      </w:r>
      <w:r w:rsidRPr="00576D15">
        <w:rPr>
          <w:lang w:val="en-US" w:eastAsia="en-US"/>
        </w:rPr>
        <w:t xml:space="preserve"> experienced a significant change in terms of competition contraction between </w:t>
      </w:r>
      <w:r w:rsidRPr="008E53EE">
        <w:rPr>
          <w:lang w:val="en-US" w:eastAsia="en-US"/>
        </w:rPr>
        <w:t>actors</w:t>
      </w:r>
      <w:r w:rsidRPr="00576D15">
        <w:rPr>
          <w:lang w:val="en-US" w:eastAsia="en-US"/>
        </w:rPr>
        <w:t xml:space="preserve">, as the power concentration </w:t>
      </w:r>
      <w:r w:rsidR="00FE497A">
        <w:rPr>
          <w:lang w:val="en-US" w:eastAsia="en-US"/>
        </w:rPr>
        <w:t>has</w:t>
      </w:r>
      <w:r w:rsidRPr="00576D15">
        <w:rPr>
          <w:lang w:val="en-US" w:eastAsia="en-US"/>
        </w:rPr>
        <w:t xml:space="preserve"> gradually shifted from many to few. This structural change has important implications for </w:t>
      </w:r>
      <w:r>
        <w:rPr>
          <w:lang w:val="en-US" w:eastAsia="en-US"/>
        </w:rPr>
        <w:t>newcomers</w:t>
      </w:r>
      <w:r w:rsidRPr="00576D15">
        <w:rPr>
          <w:lang w:val="en-US" w:eastAsia="en-US"/>
        </w:rPr>
        <w:t xml:space="preserve">, as these struggle to gain market </w:t>
      </w:r>
      <w:r w:rsidRPr="00576D15">
        <w:rPr>
          <w:lang w:val="en-US" w:eastAsia="en-US"/>
        </w:rPr>
        <w:lastRenderedPageBreak/>
        <w:t>share from established actors.</w:t>
      </w:r>
      <w:r>
        <w:rPr>
          <w:lang w:val="en-US" w:eastAsia="en-US"/>
        </w:rPr>
        <w:t xml:space="preserve"> </w:t>
      </w:r>
      <w:r w:rsidR="00B32F04">
        <w:rPr>
          <w:lang w:val="en-US" w:eastAsia="en-US"/>
        </w:rPr>
        <w:t xml:space="preserve">The traditional food market is characterized by low prices and dominated by three retail groups with multiple retail chains. </w:t>
      </w:r>
      <w:r w:rsidR="007D6C91">
        <w:rPr>
          <w:lang w:val="en-US" w:eastAsia="en-US"/>
        </w:rPr>
        <w:t xml:space="preserve">Together with strict border control affecting import and customs, foreign actors face difficulties in entering the Norwegian food sector. </w:t>
      </w:r>
      <w:r w:rsidRPr="0055193B">
        <w:rPr>
          <w:lang w:val="en-US" w:eastAsia="en-US"/>
        </w:rPr>
        <w:t>Despite the small market share of online food shopping on the total food market,</w:t>
      </w:r>
      <w:r>
        <w:rPr>
          <w:lang w:val="en-US" w:eastAsia="en-US"/>
        </w:rPr>
        <w:t xml:space="preserve"> consumers are becoming increasingly interested in alternative digital food </w:t>
      </w:r>
      <w:r w:rsidR="007D6C91">
        <w:rPr>
          <w:lang w:val="en-US" w:eastAsia="en-US"/>
        </w:rPr>
        <w:t>networks</w:t>
      </w:r>
      <w:r w:rsidR="00C66D5F">
        <w:rPr>
          <w:lang w:val="en-US" w:eastAsia="en-US"/>
        </w:rPr>
        <w:t xml:space="preserve"> – a market primarily focused on niche food products promoting sustainability, ecology, animal welfare, fair trade, and mitigating food waste</w:t>
      </w:r>
      <w:r>
        <w:rPr>
          <w:lang w:val="en-US" w:eastAsia="en-US"/>
        </w:rPr>
        <w:t xml:space="preserve">. Dominating incentives to engage in </w:t>
      </w:r>
      <w:r w:rsidR="007D6C91">
        <w:rPr>
          <w:lang w:val="en-US" w:eastAsia="en-US"/>
        </w:rPr>
        <w:t xml:space="preserve">alternative food networks and online food shopping </w:t>
      </w:r>
      <w:r>
        <w:rPr>
          <w:lang w:val="en-US" w:eastAsia="en-US"/>
        </w:rPr>
        <w:t xml:space="preserve">rather than traditional grocery shopping seem to be related to </w:t>
      </w:r>
      <w:r w:rsidR="002A5CFC">
        <w:rPr>
          <w:lang w:val="en-US" w:eastAsia="en-US"/>
        </w:rPr>
        <w:t>convenience and saving time and</w:t>
      </w:r>
      <w:r>
        <w:rPr>
          <w:lang w:val="en-US" w:eastAsia="en-US"/>
        </w:rPr>
        <w:t xml:space="preserve"> </w:t>
      </w:r>
      <w:r w:rsidR="002A5CFC">
        <w:rPr>
          <w:lang w:val="en-US" w:eastAsia="en-US"/>
        </w:rPr>
        <w:t>money</w:t>
      </w:r>
      <w:r>
        <w:rPr>
          <w:lang w:val="en-US" w:eastAsia="en-US"/>
        </w:rPr>
        <w:t xml:space="preserve">. Thus, in spite of their contemporary low market share and establishment challenges, digital innovations as alternatives to traditional food distribution systems have optimistic outlooks. </w:t>
      </w:r>
    </w:p>
    <w:p w14:paraId="334F336E" w14:textId="38A52BA5" w:rsidR="001C3373" w:rsidRDefault="001C3373" w:rsidP="00E60480">
      <w:pPr>
        <w:pStyle w:val="Overskrift1"/>
        <w:spacing w:before="0" w:line="276" w:lineRule="auto"/>
        <w:rPr>
          <w:rFonts w:ascii="Times New Roman" w:hAnsi="Times New Roman" w:cs="Times New Roman"/>
          <w:color w:val="auto"/>
          <w:lang w:val="en-US"/>
        </w:rPr>
      </w:pPr>
    </w:p>
    <w:p w14:paraId="33882C7D" w14:textId="29B42F0C" w:rsidR="001C3373" w:rsidRDefault="001C3373" w:rsidP="001C3373">
      <w:pPr>
        <w:rPr>
          <w:lang w:val="en-US"/>
        </w:rPr>
      </w:pPr>
    </w:p>
    <w:p w14:paraId="007DA0DA" w14:textId="5390B74B" w:rsidR="001C3373" w:rsidRDefault="001C3373" w:rsidP="001C3373">
      <w:pPr>
        <w:rPr>
          <w:lang w:val="en-US"/>
        </w:rPr>
      </w:pPr>
    </w:p>
    <w:p w14:paraId="71D49A79" w14:textId="2F22A474" w:rsidR="001C3373" w:rsidRDefault="001C3373" w:rsidP="001C3373">
      <w:pPr>
        <w:rPr>
          <w:lang w:val="en-US"/>
        </w:rPr>
      </w:pPr>
    </w:p>
    <w:p w14:paraId="5F0BC650" w14:textId="18629D2E" w:rsidR="001C3373" w:rsidRDefault="001C3373" w:rsidP="001C3373">
      <w:pPr>
        <w:rPr>
          <w:lang w:val="en-US"/>
        </w:rPr>
      </w:pPr>
    </w:p>
    <w:p w14:paraId="1A349FEA" w14:textId="3D962CCC" w:rsidR="001C3373" w:rsidRDefault="001C3373" w:rsidP="001C3373">
      <w:pPr>
        <w:rPr>
          <w:lang w:val="en-US"/>
        </w:rPr>
      </w:pPr>
    </w:p>
    <w:p w14:paraId="454165DA" w14:textId="2C8624A2" w:rsidR="001C3373" w:rsidRDefault="001C3373" w:rsidP="001C3373">
      <w:pPr>
        <w:rPr>
          <w:lang w:val="en-US"/>
        </w:rPr>
      </w:pPr>
    </w:p>
    <w:p w14:paraId="31381CF1" w14:textId="4BD6ADDF" w:rsidR="001C3373" w:rsidRDefault="001C3373" w:rsidP="001C3373">
      <w:pPr>
        <w:rPr>
          <w:lang w:val="en-US"/>
        </w:rPr>
      </w:pPr>
    </w:p>
    <w:p w14:paraId="05D91397" w14:textId="6E32760E" w:rsidR="001C3373" w:rsidRDefault="001C3373" w:rsidP="001C3373">
      <w:pPr>
        <w:rPr>
          <w:lang w:val="en-US"/>
        </w:rPr>
      </w:pPr>
    </w:p>
    <w:p w14:paraId="20E7F9EA" w14:textId="7AF6D187" w:rsidR="001C3373" w:rsidRDefault="001C3373" w:rsidP="001C3373">
      <w:pPr>
        <w:rPr>
          <w:lang w:val="en-US"/>
        </w:rPr>
      </w:pPr>
    </w:p>
    <w:p w14:paraId="69D12446" w14:textId="31ED94CC" w:rsidR="001C3373" w:rsidRDefault="001C3373" w:rsidP="001C3373">
      <w:pPr>
        <w:rPr>
          <w:lang w:val="en-US"/>
        </w:rPr>
      </w:pPr>
    </w:p>
    <w:p w14:paraId="02721833" w14:textId="71C7C9C0" w:rsidR="001C3373" w:rsidRDefault="001C3373" w:rsidP="001C3373">
      <w:pPr>
        <w:rPr>
          <w:lang w:val="en-US"/>
        </w:rPr>
      </w:pPr>
    </w:p>
    <w:p w14:paraId="1893C350" w14:textId="2A649515" w:rsidR="001C3373" w:rsidRDefault="001C3373" w:rsidP="001C3373">
      <w:pPr>
        <w:rPr>
          <w:lang w:val="en-US"/>
        </w:rPr>
      </w:pPr>
    </w:p>
    <w:p w14:paraId="6FB81873" w14:textId="43CE937C" w:rsidR="001C3373" w:rsidRDefault="001C3373" w:rsidP="001C3373">
      <w:pPr>
        <w:rPr>
          <w:lang w:val="en-US"/>
        </w:rPr>
      </w:pPr>
    </w:p>
    <w:p w14:paraId="66FCC8FF" w14:textId="75EB22A2" w:rsidR="001C3373" w:rsidRDefault="001C3373" w:rsidP="001C3373">
      <w:pPr>
        <w:rPr>
          <w:lang w:val="en-US"/>
        </w:rPr>
      </w:pPr>
    </w:p>
    <w:p w14:paraId="589C9630" w14:textId="519969B3" w:rsidR="001C3373" w:rsidRDefault="001C3373" w:rsidP="001C3373">
      <w:pPr>
        <w:rPr>
          <w:lang w:val="en-US"/>
        </w:rPr>
      </w:pPr>
    </w:p>
    <w:p w14:paraId="0578D312" w14:textId="3D948FA1" w:rsidR="001C3373" w:rsidRDefault="001C3373" w:rsidP="001C3373">
      <w:pPr>
        <w:rPr>
          <w:lang w:val="en-US"/>
        </w:rPr>
      </w:pPr>
    </w:p>
    <w:p w14:paraId="0756E3F7" w14:textId="1A88997C" w:rsidR="001C3373" w:rsidRDefault="001C3373" w:rsidP="001C3373">
      <w:pPr>
        <w:rPr>
          <w:lang w:val="en-US"/>
        </w:rPr>
      </w:pPr>
    </w:p>
    <w:p w14:paraId="0574F295" w14:textId="151746FE" w:rsidR="001C3373" w:rsidRDefault="001C3373" w:rsidP="001C3373">
      <w:pPr>
        <w:rPr>
          <w:lang w:val="en-US"/>
        </w:rPr>
      </w:pPr>
    </w:p>
    <w:p w14:paraId="390B39B1" w14:textId="169B9F65" w:rsidR="001C3373" w:rsidRDefault="001C3373" w:rsidP="001C3373">
      <w:pPr>
        <w:rPr>
          <w:lang w:val="en-US"/>
        </w:rPr>
      </w:pPr>
    </w:p>
    <w:p w14:paraId="6B3E9172" w14:textId="09756AC3" w:rsidR="001C3373" w:rsidRDefault="001C3373" w:rsidP="001C3373">
      <w:pPr>
        <w:rPr>
          <w:lang w:val="en-US"/>
        </w:rPr>
      </w:pPr>
    </w:p>
    <w:p w14:paraId="788D6A1E" w14:textId="4FD7A9C7" w:rsidR="001C3373" w:rsidRDefault="001C3373" w:rsidP="001C3373">
      <w:pPr>
        <w:rPr>
          <w:lang w:val="en-US"/>
        </w:rPr>
      </w:pPr>
    </w:p>
    <w:p w14:paraId="1F99285D" w14:textId="54893CA4" w:rsidR="001C3373" w:rsidRDefault="001C3373" w:rsidP="001C3373">
      <w:pPr>
        <w:rPr>
          <w:lang w:val="en-US"/>
        </w:rPr>
      </w:pPr>
    </w:p>
    <w:p w14:paraId="2FE844F5" w14:textId="74445F9B" w:rsidR="001C3373" w:rsidRDefault="001C3373" w:rsidP="001C3373">
      <w:pPr>
        <w:rPr>
          <w:lang w:val="en-US"/>
        </w:rPr>
      </w:pPr>
    </w:p>
    <w:p w14:paraId="7E14A4DB" w14:textId="7468303B" w:rsidR="001C3373" w:rsidRDefault="001C3373" w:rsidP="001C3373">
      <w:pPr>
        <w:rPr>
          <w:lang w:val="en-US"/>
        </w:rPr>
      </w:pPr>
    </w:p>
    <w:p w14:paraId="5C0F4264" w14:textId="4C891CB5" w:rsidR="001C3373" w:rsidRDefault="001C3373" w:rsidP="001C3373">
      <w:pPr>
        <w:rPr>
          <w:lang w:val="en-US"/>
        </w:rPr>
      </w:pPr>
    </w:p>
    <w:p w14:paraId="431F3B66" w14:textId="700066A7" w:rsidR="001C3373" w:rsidRDefault="001C3373" w:rsidP="001C3373">
      <w:pPr>
        <w:rPr>
          <w:lang w:val="en-US"/>
        </w:rPr>
      </w:pPr>
    </w:p>
    <w:p w14:paraId="5A6F0895" w14:textId="45F9E000" w:rsidR="001C3373" w:rsidRDefault="001C3373" w:rsidP="001C3373">
      <w:pPr>
        <w:rPr>
          <w:lang w:val="en-US"/>
        </w:rPr>
      </w:pPr>
    </w:p>
    <w:p w14:paraId="1E132B75" w14:textId="2BA8248E" w:rsidR="001C3373" w:rsidRDefault="001C3373" w:rsidP="001C3373">
      <w:pPr>
        <w:rPr>
          <w:lang w:val="en-US"/>
        </w:rPr>
      </w:pPr>
    </w:p>
    <w:p w14:paraId="6C8F2BD5" w14:textId="11A103FD" w:rsidR="001C3373" w:rsidRDefault="001C3373" w:rsidP="001C3373">
      <w:pPr>
        <w:rPr>
          <w:lang w:val="en-US"/>
        </w:rPr>
      </w:pPr>
    </w:p>
    <w:p w14:paraId="6922C34B" w14:textId="4EB14716" w:rsidR="001C3373" w:rsidRDefault="001C3373" w:rsidP="001C3373">
      <w:pPr>
        <w:rPr>
          <w:lang w:val="en-US"/>
        </w:rPr>
      </w:pPr>
    </w:p>
    <w:p w14:paraId="0200EFA3" w14:textId="77777777" w:rsidR="001C3373" w:rsidRPr="001C3373" w:rsidRDefault="001C3373" w:rsidP="001C3373">
      <w:pPr>
        <w:rPr>
          <w:lang w:val="en-US"/>
        </w:rPr>
      </w:pPr>
    </w:p>
    <w:p w14:paraId="7E30BAF0" w14:textId="77777777" w:rsidR="001C3373" w:rsidRDefault="001C3373" w:rsidP="00E60480">
      <w:pPr>
        <w:pStyle w:val="Overskrift1"/>
        <w:spacing w:before="0" w:line="276" w:lineRule="auto"/>
        <w:rPr>
          <w:rFonts w:ascii="Times New Roman" w:hAnsi="Times New Roman" w:cs="Times New Roman"/>
          <w:color w:val="auto"/>
          <w:lang w:val="en-US"/>
        </w:rPr>
      </w:pPr>
    </w:p>
    <w:p w14:paraId="4E48E9CE" w14:textId="7EB4EE8E" w:rsidR="00934EFA" w:rsidRPr="00876C6E" w:rsidRDefault="00934EFA" w:rsidP="00E60480">
      <w:pPr>
        <w:pStyle w:val="Overskrift1"/>
        <w:spacing w:before="0" w:line="276" w:lineRule="auto"/>
        <w:rPr>
          <w:rFonts w:ascii="Times New Roman" w:hAnsi="Times New Roman" w:cs="Times New Roman"/>
          <w:color w:val="auto"/>
          <w:lang w:val="en-US"/>
        </w:rPr>
      </w:pPr>
      <w:r w:rsidRPr="00876C6E">
        <w:rPr>
          <w:rFonts w:ascii="Times New Roman" w:hAnsi="Times New Roman" w:cs="Times New Roman"/>
          <w:color w:val="auto"/>
          <w:lang w:val="en-US"/>
        </w:rPr>
        <w:t>References</w:t>
      </w:r>
    </w:p>
    <w:p w14:paraId="196E8997" w14:textId="24251835" w:rsidR="00934EFA" w:rsidRPr="00C53FB9" w:rsidRDefault="00934EFA" w:rsidP="00003C1B">
      <w:pPr>
        <w:pStyle w:val="EndNoteBibliography"/>
        <w:spacing w:line="276" w:lineRule="auto"/>
        <w:ind w:left="720" w:hanging="720"/>
        <w:rPr>
          <w:lang w:val="en-US"/>
        </w:rPr>
      </w:pPr>
      <w:r w:rsidRPr="00FE497A">
        <w:rPr>
          <w:lang w:val="en-US"/>
        </w:rPr>
        <w:t xml:space="preserve">Braadland, T. E., &amp; Hauknes, J. (2000). Innovation in the Norwegian food cluster. </w:t>
      </w:r>
      <w:r w:rsidRPr="00555ADB">
        <w:rPr>
          <w:i/>
          <w:lang w:val="en-US"/>
        </w:rPr>
        <w:t xml:space="preserve">OECD, </w:t>
      </w:r>
      <w:r w:rsidRPr="00C53FB9">
        <w:rPr>
          <w:i/>
          <w:lang w:val="en-US"/>
        </w:rPr>
        <w:t>Cluster workshop Utrecht, retrieved from: https://pdfs.semanticscholar.org/92f3/6050ca8740325eca89407f73dcaf82d19e85.pdf?_ga=2.174482850.1020353725.1540542181-1575827179.1540542181</w:t>
      </w:r>
      <w:r w:rsidRPr="00C53FB9">
        <w:rPr>
          <w:lang w:val="en-US"/>
        </w:rPr>
        <w:t xml:space="preserve">. </w:t>
      </w:r>
    </w:p>
    <w:p w14:paraId="3CD94626" w14:textId="0FD7E6A7" w:rsidR="00C53FB9" w:rsidRPr="00FE497A" w:rsidRDefault="00C53FB9" w:rsidP="00003C1B">
      <w:pPr>
        <w:pStyle w:val="EndNoteBibliography"/>
        <w:spacing w:line="276" w:lineRule="auto"/>
        <w:ind w:left="720" w:hanging="720"/>
      </w:pPr>
      <w:r w:rsidRPr="00C53FB9">
        <w:rPr>
          <w:lang w:val="en-US"/>
        </w:rPr>
        <w:t xml:space="preserve">Brynjolfsson, E, Hu, Y. J., &amp; Smith, M. D., (2006). From Niches to Riches: Anatomy of the Long Tail. </w:t>
      </w:r>
      <w:r w:rsidRPr="00FE497A">
        <w:t>Sloan Management Review, Vol. 47, No. 4, pp. 67-71.</w:t>
      </w:r>
    </w:p>
    <w:p w14:paraId="44F5DA75" w14:textId="67157292" w:rsidR="007A071F" w:rsidRPr="007A071F" w:rsidRDefault="007A071F" w:rsidP="00003C1B">
      <w:pPr>
        <w:pStyle w:val="EndNoteBibliography"/>
        <w:spacing w:line="276" w:lineRule="auto"/>
        <w:ind w:left="720" w:hanging="720"/>
      </w:pPr>
      <w:r w:rsidRPr="007A071F">
        <w:t xml:space="preserve">Bugge, A. B. (2015). Mat, måltid og moral-hvordan spise rett og riktig? SIFO-rapport, Forbruksforskningsinstituttet SIFO, OsloMet. </w:t>
      </w:r>
    </w:p>
    <w:p w14:paraId="3EB45431" w14:textId="1B2DBE9A" w:rsidR="000050A9" w:rsidRPr="000050A9" w:rsidRDefault="000050A9" w:rsidP="00003C1B">
      <w:pPr>
        <w:pStyle w:val="EndNoteBibliography"/>
        <w:spacing w:line="276" w:lineRule="auto"/>
        <w:ind w:left="720" w:hanging="720"/>
        <w:rPr>
          <w:lang w:val="en-US"/>
        </w:rPr>
      </w:pPr>
      <w:r w:rsidRPr="00FE497A">
        <w:t xml:space="preserve">Choudary, O., &amp; Kuhn, M. G. (2014). </w:t>
      </w:r>
      <w:r w:rsidRPr="000050A9">
        <w:rPr>
          <w:lang w:val="en-US"/>
        </w:rPr>
        <w:t xml:space="preserve">Template attacks on different devices. Paper presented at the International Workshop on Constructive Side-Channel Analysis and Secure Design. </w:t>
      </w:r>
    </w:p>
    <w:p w14:paraId="14FD7404" w14:textId="0989D90A" w:rsidR="00B17DBF" w:rsidRPr="00161C5D" w:rsidRDefault="00B17DBF" w:rsidP="00003C1B">
      <w:pPr>
        <w:pStyle w:val="EndNoteBibliography"/>
        <w:spacing w:line="276" w:lineRule="auto"/>
        <w:ind w:left="720" w:hanging="720"/>
        <w:rPr>
          <w:lang w:val="en-US"/>
        </w:rPr>
      </w:pPr>
      <w:r w:rsidRPr="00B17DBF">
        <w:rPr>
          <w:lang w:val="en-US"/>
        </w:rPr>
        <w:t>Coop (2017). Årsr</w:t>
      </w:r>
      <w:r w:rsidRPr="00161C5D">
        <w:rPr>
          <w:lang w:val="en-US"/>
        </w:rPr>
        <w:t xml:space="preserve">apport 2017. Retrieved from: </w:t>
      </w:r>
      <w:hyperlink r:id="rId28" w:history="1">
        <w:r w:rsidRPr="00161C5D">
          <w:rPr>
            <w:rStyle w:val="Hyperkobling"/>
            <w:color w:val="auto"/>
            <w:u w:val="none"/>
            <w:lang w:val="en-US"/>
          </w:rPr>
          <w:t>https://coop.no/globalassets/om-coop/arsmeldinger/2017/coop_arsrapport_2017_dobbeltsider_web.pdf</w:t>
        </w:r>
      </w:hyperlink>
      <w:r w:rsidRPr="00161C5D">
        <w:rPr>
          <w:lang w:val="en-US"/>
        </w:rPr>
        <w:t xml:space="preserve"> </w:t>
      </w:r>
    </w:p>
    <w:p w14:paraId="6F4CB303" w14:textId="17B1A46C" w:rsidR="006E0388" w:rsidRPr="00161C5D" w:rsidRDefault="006E0388" w:rsidP="00003C1B">
      <w:pPr>
        <w:pStyle w:val="EndNoteBibliography"/>
        <w:spacing w:line="276" w:lineRule="auto"/>
        <w:ind w:left="720" w:hanging="720"/>
        <w:rPr>
          <w:lang w:val="en-US"/>
        </w:rPr>
      </w:pPr>
      <w:r w:rsidRPr="00161C5D">
        <w:rPr>
          <w:lang w:val="en-US"/>
        </w:rPr>
        <w:t xml:space="preserve">Dagligvarefasiten. (2018). The Nielsen Company. Retrieved from: </w:t>
      </w:r>
      <w:hyperlink r:id="rId29" w:history="1">
        <w:r w:rsidRPr="00161C5D">
          <w:rPr>
            <w:rStyle w:val="Hyperkobling"/>
            <w:color w:val="auto"/>
            <w:u w:val="none"/>
            <w:lang w:val="en-US"/>
          </w:rPr>
          <w:t>https://dagligvarehandelen.no/sites/handelsbladet.no/files/dagligvarefasiten_2018.pdf</w:t>
        </w:r>
      </w:hyperlink>
      <w:r w:rsidRPr="00161C5D">
        <w:rPr>
          <w:lang w:val="en-US"/>
        </w:rPr>
        <w:t xml:space="preserve"> </w:t>
      </w:r>
    </w:p>
    <w:p w14:paraId="40A13475" w14:textId="2A7BED56" w:rsidR="00934EFA" w:rsidRPr="00555ADB" w:rsidRDefault="00934EFA" w:rsidP="00003C1B">
      <w:pPr>
        <w:pStyle w:val="EndNoteBibliography"/>
        <w:spacing w:line="276" w:lineRule="auto"/>
        <w:ind w:left="720" w:hanging="720"/>
        <w:rPr>
          <w:lang w:val="en-US"/>
        </w:rPr>
      </w:pPr>
      <w:r w:rsidRPr="00161C5D">
        <w:t xml:space="preserve">Dulsrud, A., &amp; Alfnes, F. (2016). Vareutvalg av mat og drikke i norske dagligvarebutikker. Utvikling, egne merkevarer og sammenligning med Sverige. </w:t>
      </w:r>
      <w:r w:rsidRPr="00161C5D">
        <w:rPr>
          <w:i/>
        </w:rPr>
        <w:t>Rapport nr.7. Oslo: Forbruksforskningsinstituttet</w:t>
      </w:r>
      <w:r w:rsidRPr="003F45DA">
        <w:rPr>
          <w:i/>
        </w:rPr>
        <w:t xml:space="preserve">. </w:t>
      </w:r>
      <w:r w:rsidRPr="00555ADB">
        <w:rPr>
          <w:i/>
          <w:lang w:val="en-US"/>
        </w:rPr>
        <w:t>Retrieved from: http://www.hioa.no/extension/hioa/design/hioa/images/sifo/files/file80700_oppdragsrapport_7_2016_sifo.pdf</w:t>
      </w:r>
      <w:r w:rsidRPr="00555ADB">
        <w:rPr>
          <w:lang w:val="en-US"/>
        </w:rPr>
        <w:t xml:space="preserve">. </w:t>
      </w:r>
    </w:p>
    <w:p w14:paraId="036634BD" w14:textId="77777777" w:rsidR="00934EFA" w:rsidRPr="003F45DA" w:rsidRDefault="00934EFA" w:rsidP="00003C1B">
      <w:pPr>
        <w:pStyle w:val="EndNoteBibliography"/>
        <w:spacing w:line="276" w:lineRule="auto"/>
        <w:ind w:left="720" w:hanging="720"/>
      </w:pPr>
      <w:r w:rsidRPr="003F45DA">
        <w:t xml:space="preserve">Forbrukerrådet. (2013). Dagligvareundersøkelsen. </w:t>
      </w:r>
      <w:r w:rsidRPr="003F45DA">
        <w:rPr>
          <w:i/>
        </w:rPr>
        <w:t>Oslo: Forbrukerrådet</w:t>
      </w:r>
      <w:r w:rsidRPr="003F45DA">
        <w:t xml:space="preserve">. </w:t>
      </w:r>
    </w:p>
    <w:p w14:paraId="0301EE09" w14:textId="77777777" w:rsidR="00934EFA" w:rsidRPr="00FE497A" w:rsidRDefault="00934EFA" w:rsidP="00003C1B">
      <w:pPr>
        <w:pStyle w:val="EndNoteBibliography"/>
        <w:spacing w:line="276" w:lineRule="auto"/>
        <w:ind w:left="720" w:hanging="720"/>
      </w:pPr>
      <w:r w:rsidRPr="003F45DA">
        <w:t xml:space="preserve">Gabrielsen, T. S., Steen, F., Sørgard, L., &amp; Vagstad, S. (2013). Kjøpermakt i dagligvaresektoren. </w:t>
      </w:r>
      <w:r w:rsidRPr="003F45DA">
        <w:rPr>
          <w:i/>
        </w:rPr>
        <w:t xml:space="preserve">Fornyings-, administrasjons- og kirkedepartementet. </w:t>
      </w:r>
      <w:r w:rsidRPr="00FE497A">
        <w:rPr>
          <w:i/>
        </w:rPr>
        <w:t>Retrieved from: https://www.regjeringen.no/globalassets/upload/fad/vedlegg/konkurransepolitikk/kjopermakt.pdf</w:t>
      </w:r>
      <w:r w:rsidRPr="00FE497A">
        <w:t xml:space="preserve">. </w:t>
      </w:r>
    </w:p>
    <w:p w14:paraId="04EC6506" w14:textId="52AF1BEA" w:rsidR="002961F8" w:rsidRPr="002961F8" w:rsidRDefault="002961F8" w:rsidP="00003C1B">
      <w:pPr>
        <w:pStyle w:val="EndNoteBibliography"/>
        <w:spacing w:line="276" w:lineRule="auto"/>
        <w:ind w:left="720" w:hanging="720"/>
      </w:pPr>
      <w:r w:rsidRPr="002961F8">
        <w:rPr>
          <w:lang w:val="en-US"/>
        </w:rPr>
        <w:t xml:space="preserve">Gawer, A., &amp; Cusumano, M. A. (2014). Industry platforms and ecosystem innovation. </w:t>
      </w:r>
      <w:r w:rsidRPr="002961F8">
        <w:t>Journal of Product Innovation Management, 31(3), 417-433.</w:t>
      </w:r>
    </w:p>
    <w:p w14:paraId="6F8B2BD9" w14:textId="35BBE928" w:rsidR="002005BC" w:rsidRPr="002005BC" w:rsidRDefault="002005BC" w:rsidP="00003C1B">
      <w:pPr>
        <w:pStyle w:val="EndNoteBibliography"/>
        <w:spacing w:line="276" w:lineRule="auto"/>
        <w:ind w:left="720" w:hanging="720"/>
      </w:pPr>
      <w:r>
        <w:t xml:space="preserve">Hvitsand, C. (2016). </w:t>
      </w:r>
      <w:r w:rsidRPr="002005BC">
        <w:t>Andelslandbruk – spydspiss for bærekraftig omstilling i matvaresy</w:t>
      </w:r>
      <w:r>
        <w:t>stemet.</w:t>
      </w:r>
      <w:r w:rsidRPr="002005BC">
        <w:t xml:space="preserve"> Sosiologi i dag 46(2): 79-106.</w:t>
      </w:r>
    </w:p>
    <w:p w14:paraId="7C158BA9" w14:textId="635DA6F1" w:rsidR="00934EFA" w:rsidRPr="00FE497A" w:rsidRDefault="00934EFA" w:rsidP="00003C1B">
      <w:pPr>
        <w:pStyle w:val="EndNoteBibliography"/>
        <w:spacing w:line="276" w:lineRule="auto"/>
        <w:ind w:left="720" w:hanging="720"/>
      </w:pPr>
      <w:r w:rsidRPr="003F45DA">
        <w:t xml:space="preserve">Ipsos. (2017). </w:t>
      </w:r>
      <w:r w:rsidRPr="00FE497A">
        <w:t>Middagsdagboken</w:t>
      </w:r>
      <w:r w:rsidR="009A0C83" w:rsidRPr="00FE497A">
        <w:t>.</w:t>
      </w:r>
      <w:r w:rsidRPr="00FE497A">
        <w:t xml:space="preserve"> </w:t>
      </w:r>
      <w:r w:rsidRPr="00FE497A">
        <w:rPr>
          <w:i/>
        </w:rPr>
        <w:t>Ipsos Marketing</w:t>
      </w:r>
      <w:r w:rsidRPr="00FE497A">
        <w:t xml:space="preserve">. </w:t>
      </w:r>
    </w:p>
    <w:p w14:paraId="619BBBAB" w14:textId="7D06B5E8" w:rsidR="00934EFA" w:rsidRPr="009A0C83" w:rsidRDefault="00934EFA" w:rsidP="00003C1B">
      <w:pPr>
        <w:pStyle w:val="EndNoteBibliography"/>
        <w:spacing w:line="276" w:lineRule="auto"/>
        <w:ind w:left="720" w:hanging="720"/>
        <w:rPr>
          <w:lang w:val="en-US"/>
        </w:rPr>
      </w:pPr>
      <w:r w:rsidRPr="00FE497A">
        <w:t>Ipsos. (2018). Norske spisefakta</w:t>
      </w:r>
      <w:r w:rsidR="009A0C83" w:rsidRPr="00FE497A">
        <w:t>.</w:t>
      </w:r>
      <w:r w:rsidRPr="00FE497A">
        <w:t xml:space="preserve"> </w:t>
      </w:r>
      <w:r w:rsidRPr="009A0C83">
        <w:rPr>
          <w:i/>
          <w:lang w:val="en-US"/>
        </w:rPr>
        <w:t>Ipsos</w:t>
      </w:r>
      <w:r w:rsidR="009A0C83" w:rsidRPr="009A0C83">
        <w:rPr>
          <w:i/>
          <w:lang w:val="en-US"/>
        </w:rPr>
        <w:t xml:space="preserve"> Marketing</w:t>
      </w:r>
      <w:r w:rsidRPr="009A0C83">
        <w:rPr>
          <w:lang w:val="en-US"/>
        </w:rPr>
        <w:t xml:space="preserve">. </w:t>
      </w:r>
    </w:p>
    <w:p w14:paraId="2E7B87D5" w14:textId="77777777" w:rsidR="00934EFA" w:rsidRPr="00FE497A" w:rsidRDefault="00934EFA" w:rsidP="00003C1B">
      <w:pPr>
        <w:pStyle w:val="EndNoteBibliography"/>
        <w:spacing w:line="276" w:lineRule="auto"/>
        <w:ind w:left="720" w:hanging="720"/>
        <w:rPr>
          <w:lang w:val="en-US"/>
        </w:rPr>
      </w:pPr>
      <w:r w:rsidRPr="009A0C83">
        <w:rPr>
          <w:lang w:val="en-US"/>
        </w:rPr>
        <w:t>Jacobsen, E., &amp; Dulsrud, A. (1994). Retailer power, to the benefit of the consumers? Concentration and integration in food ret</w:t>
      </w:r>
      <w:r w:rsidRPr="00FE497A">
        <w:rPr>
          <w:lang w:val="en-US"/>
        </w:rPr>
        <w:t xml:space="preserve">ailing in Norway. </w:t>
      </w:r>
      <w:r w:rsidRPr="00FE497A">
        <w:rPr>
          <w:i/>
          <w:lang w:val="en-US"/>
        </w:rPr>
        <w:t>Research report 4, Consumption Research Norway, Lysaker, Norway</w:t>
      </w:r>
      <w:r w:rsidRPr="00FE497A">
        <w:rPr>
          <w:lang w:val="en-US"/>
        </w:rPr>
        <w:t xml:space="preserve">. </w:t>
      </w:r>
    </w:p>
    <w:p w14:paraId="6DCF2F15" w14:textId="5B376C30" w:rsidR="000D7482" w:rsidRPr="000D7482" w:rsidRDefault="000D7482" w:rsidP="00003C1B">
      <w:pPr>
        <w:pStyle w:val="EndNoteBibliography"/>
        <w:spacing w:line="276" w:lineRule="auto"/>
        <w:ind w:left="720" w:hanging="720"/>
        <w:rPr>
          <w:lang w:val="en-US"/>
        </w:rPr>
      </w:pPr>
      <w:r w:rsidRPr="000D7482">
        <w:t>Lovdata (</w:t>
      </w:r>
      <w:r>
        <w:t>2018</w:t>
      </w:r>
      <w:r w:rsidRPr="000D7482">
        <w:t>)</w:t>
      </w:r>
      <w:r>
        <w:t xml:space="preserve">. </w:t>
      </w:r>
      <w:r w:rsidRPr="000D7482">
        <w:t xml:space="preserve">Lov om helligdager og helligdagsfred. </w:t>
      </w:r>
      <w:r w:rsidRPr="000D7482">
        <w:rPr>
          <w:lang w:val="en-US"/>
        </w:rPr>
        <w:t>Retrieved from: https://lovdata.no/dokument/NL/lov/1995-02-24-12</w:t>
      </w:r>
    </w:p>
    <w:p w14:paraId="5416C1C2" w14:textId="2844ADE0" w:rsidR="00934EFA" w:rsidRPr="003F45DA" w:rsidRDefault="00934EFA" w:rsidP="00003C1B">
      <w:pPr>
        <w:pStyle w:val="EndNoteBibliography"/>
        <w:spacing w:line="276" w:lineRule="auto"/>
        <w:ind w:left="720" w:hanging="720"/>
      </w:pPr>
      <w:r w:rsidRPr="003F45DA">
        <w:t xml:space="preserve">Nielsen. (2016a). Dagligvarebutikker - utvalgte norske og svenske byer for forbrukerrådet. </w:t>
      </w:r>
      <w:r w:rsidRPr="003F45DA">
        <w:rPr>
          <w:i/>
        </w:rPr>
        <w:t>Oslo: The Nielsen Company</w:t>
      </w:r>
      <w:r w:rsidRPr="003F45DA">
        <w:t xml:space="preserve">. </w:t>
      </w:r>
    </w:p>
    <w:p w14:paraId="0813FEFB" w14:textId="77777777" w:rsidR="00934EFA" w:rsidRPr="003F45DA" w:rsidRDefault="00934EFA" w:rsidP="00003C1B">
      <w:pPr>
        <w:pStyle w:val="EndNoteBibliography"/>
        <w:spacing w:line="276" w:lineRule="auto"/>
        <w:ind w:left="720" w:hanging="720"/>
      </w:pPr>
      <w:r w:rsidRPr="003F45DA">
        <w:t xml:space="preserve">Nielsen. (2016b). Norske dagligvarekjeder 2016. </w:t>
      </w:r>
      <w:r w:rsidRPr="003F45DA">
        <w:rPr>
          <w:i/>
        </w:rPr>
        <w:t>The Nielsen Company</w:t>
      </w:r>
      <w:r w:rsidRPr="003F45DA">
        <w:t xml:space="preserve">. </w:t>
      </w:r>
    </w:p>
    <w:p w14:paraId="02298BF3" w14:textId="77777777" w:rsidR="00934EFA" w:rsidRPr="00FE497A" w:rsidRDefault="00934EFA" w:rsidP="00003C1B">
      <w:pPr>
        <w:pStyle w:val="EndNoteBibliography"/>
        <w:spacing w:line="276" w:lineRule="auto"/>
        <w:ind w:left="720" w:hanging="720"/>
        <w:rPr>
          <w:lang w:val="en-US"/>
        </w:rPr>
      </w:pPr>
      <w:r w:rsidRPr="003F45DA">
        <w:lastRenderedPageBreak/>
        <w:t xml:space="preserve">Nielsen. (2017a). Dagligvarekjeder 2017. </w:t>
      </w:r>
      <w:r w:rsidRPr="00FE497A">
        <w:rPr>
          <w:i/>
          <w:lang w:val="en-US"/>
        </w:rPr>
        <w:t>The Nielsen Company</w:t>
      </w:r>
      <w:r w:rsidRPr="00FE497A">
        <w:rPr>
          <w:lang w:val="en-US"/>
        </w:rPr>
        <w:t xml:space="preserve">. </w:t>
      </w:r>
    </w:p>
    <w:p w14:paraId="0EEA9590" w14:textId="77777777" w:rsidR="00934EFA" w:rsidRPr="00096EBB" w:rsidRDefault="00934EFA" w:rsidP="00003C1B">
      <w:pPr>
        <w:pStyle w:val="EndNoteBibliography"/>
        <w:spacing w:line="276" w:lineRule="auto"/>
        <w:ind w:left="720" w:hanging="720"/>
      </w:pPr>
      <w:r w:rsidRPr="00FE497A">
        <w:rPr>
          <w:lang w:val="en-US"/>
        </w:rPr>
        <w:t xml:space="preserve">Nielsen. (2017b). </w:t>
      </w:r>
      <w:r w:rsidRPr="003F45DA">
        <w:t xml:space="preserve">Dagligvarerapporten 2017. </w:t>
      </w:r>
      <w:r w:rsidRPr="00096EBB">
        <w:rPr>
          <w:i/>
        </w:rPr>
        <w:t>The Nielsen Company</w:t>
      </w:r>
      <w:r w:rsidRPr="00096EBB">
        <w:t xml:space="preserve">. </w:t>
      </w:r>
    </w:p>
    <w:p w14:paraId="58787634" w14:textId="77777777" w:rsidR="00934EFA" w:rsidRPr="00096EBB" w:rsidRDefault="00934EFA" w:rsidP="00003C1B">
      <w:pPr>
        <w:pStyle w:val="EndNoteBibliography"/>
        <w:spacing w:line="276" w:lineRule="auto"/>
        <w:ind w:left="720" w:hanging="720"/>
      </w:pPr>
      <w:r w:rsidRPr="00096EBB">
        <w:t xml:space="preserve">Nielsen. (2018a). </w:t>
      </w:r>
      <w:r w:rsidRPr="003F45DA">
        <w:t xml:space="preserve">Grensehandelsrapporten 2018. </w:t>
      </w:r>
      <w:r w:rsidRPr="00096EBB">
        <w:rPr>
          <w:i/>
        </w:rPr>
        <w:t>The Nielsen Company</w:t>
      </w:r>
      <w:r w:rsidRPr="00096EBB">
        <w:t xml:space="preserve">. </w:t>
      </w:r>
    </w:p>
    <w:p w14:paraId="205B7EE9" w14:textId="77777777" w:rsidR="00934EFA" w:rsidRPr="003F45DA" w:rsidRDefault="00934EFA" w:rsidP="00003C1B">
      <w:pPr>
        <w:pStyle w:val="EndNoteBibliography"/>
        <w:spacing w:line="276" w:lineRule="auto"/>
        <w:ind w:left="720" w:hanging="720"/>
      </w:pPr>
      <w:r w:rsidRPr="00096EBB">
        <w:t xml:space="preserve">Nielsen. (2018b). </w:t>
      </w:r>
      <w:r w:rsidRPr="003F45DA">
        <w:t xml:space="preserve">Nielsen kvartalsrapport for dagligvaremarkedet Q3 2018. </w:t>
      </w:r>
      <w:r w:rsidRPr="003F45DA">
        <w:rPr>
          <w:i/>
        </w:rPr>
        <w:t>The Nielsen Company</w:t>
      </w:r>
      <w:r w:rsidRPr="003F45DA">
        <w:t xml:space="preserve">. </w:t>
      </w:r>
    </w:p>
    <w:p w14:paraId="71207833" w14:textId="77777777" w:rsidR="00934EFA" w:rsidRPr="003F45DA" w:rsidRDefault="00934EFA" w:rsidP="00003C1B">
      <w:pPr>
        <w:pStyle w:val="EndNoteBibliography"/>
        <w:spacing w:line="276" w:lineRule="auto"/>
        <w:ind w:left="720" w:hanging="720"/>
      </w:pPr>
      <w:r w:rsidRPr="003F45DA">
        <w:t xml:space="preserve">Nielsen. (2018c). Rekordlav vekst i norsk dagligvare i 2017 </w:t>
      </w:r>
      <w:r w:rsidRPr="003F45DA">
        <w:rPr>
          <w:i/>
        </w:rPr>
        <w:t>The Nielsen Company</w:t>
      </w:r>
      <w:r w:rsidRPr="003F45DA">
        <w:t xml:space="preserve">. </w:t>
      </w:r>
    </w:p>
    <w:p w14:paraId="30234597" w14:textId="417F1289" w:rsidR="00BD2246" w:rsidRPr="00BD2246" w:rsidRDefault="00BD2246" w:rsidP="00003C1B">
      <w:pPr>
        <w:pStyle w:val="EndNoteBibliography"/>
        <w:spacing w:line="276" w:lineRule="auto"/>
        <w:ind w:left="720" w:hanging="720"/>
        <w:rPr>
          <w:lang w:val="en-US"/>
        </w:rPr>
      </w:pPr>
      <w:r w:rsidRPr="00FE497A">
        <w:rPr>
          <w:lang w:val="en-US"/>
        </w:rPr>
        <w:t xml:space="preserve">NorgesGruppen (2017). NorgesGruppen’s annual and sustainability report 2017. </w:t>
      </w:r>
      <w:r w:rsidRPr="00BD2246">
        <w:rPr>
          <w:lang w:val="en-US"/>
        </w:rPr>
        <w:t>Retrieved from: https://www.norgesgruppen.no/globalassets/finansiell-informasjon/ng_annual-sustainability-report_2017_web.pdf</w:t>
      </w:r>
    </w:p>
    <w:p w14:paraId="309610C6" w14:textId="69716238" w:rsidR="00300F5C" w:rsidRPr="00FE497A" w:rsidRDefault="00300F5C" w:rsidP="00003C1B">
      <w:pPr>
        <w:pStyle w:val="EndNoteBibliography"/>
        <w:spacing w:line="276" w:lineRule="auto"/>
        <w:ind w:left="720" w:hanging="720"/>
      </w:pPr>
      <w:r>
        <w:rPr>
          <w:lang w:val="en-US"/>
        </w:rPr>
        <w:t xml:space="preserve">Norwegian Agriculture Agency </w:t>
      </w:r>
      <w:r w:rsidRPr="00FE497A">
        <w:rPr>
          <w:lang w:val="en-US"/>
        </w:rPr>
        <w:t xml:space="preserve">(2018). Import av landbruksvarer. </w:t>
      </w:r>
      <w:r w:rsidRPr="00155280">
        <w:rPr>
          <w:i/>
        </w:rPr>
        <w:t>Internasjonal handel</w:t>
      </w:r>
      <w:r>
        <w:t xml:space="preserve">. </w:t>
      </w:r>
      <w:r w:rsidRPr="00FE497A">
        <w:t>Retrieved from: https://www.landbruksdirektoratet.no/no/internasjonal-handel/import-av-landbruksvarer/import-av-landbruksvarer</w:t>
      </w:r>
    </w:p>
    <w:p w14:paraId="480520C7" w14:textId="42477B4C" w:rsidR="00300F5C" w:rsidRPr="00FE497A" w:rsidRDefault="00300F5C" w:rsidP="00003C1B">
      <w:pPr>
        <w:pStyle w:val="EndNoteBibliography"/>
        <w:spacing w:line="276" w:lineRule="auto"/>
        <w:ind w:left="720" w:hanging="720"/>
      </w:pPr>
      <w:r w:rsidRPr="00155280">
        <w:t>Norwegian Agriculture Agency (2017).</w:t>
      </w:r>
      <w:r w:rsidR="00155280" w:rsidRPr="00155280">
        <w:t xml:space="preserve"> </w:t>
      </w:r>
      <w:r w:rsidR="00155280" w:rsidRPr="00155280">
        <w:rPr>
          <w:bCs/>
          <w:iCs/>
        </w:rPr>
        <w:t xml:space="preserve">Stor økning i øko-omsetningen. </w:t>
      </w:r>
      <w:r w:rsidR="00155280" w:rsidRPr="00155280">
        <w:rPr>
          <w:bCs/>
          <w:i/>
          <w:iCs/>
        </w:rPr>
        <w:t>Miljø og økologisk</w:t>
      </w:r>
      <w:r w:rsidR="00155280" w:rsidRPr="00155280">
        <w:rPr>
          <w:bCs/>
          <w:iCs/>
        </w:rPr>
        <w:t xml:space="preserve">. </w:t>
      </w:r>
      <w:r w:rsidR="00155280" w:rsidRPr="00FE497A">
        <w:rPr>
          <w:bCs/>
          <w:iCs/>
        </w:rPr>
        <w:t>Retrieved from: https://www.landbruksdirektoratet.no/no/miljo-og-okologisk/okologisk-landbruk/om-okologisk-landbruk/stor-økning-i-øko-omsetningen</w:t>
      </w:r>
    </w:p>
    <w:p w14:paraId="1E44BCE9" w14:textId="2DC4E1C2" w:rsidR="00AF38BD" w:rsidRPr="00FE497A" w:rsidRDefault="00AF38BD" w:rsidP="00003C1B">
      <w:pPr>
        <w:pStyle w:val="EndNoteBibliography"/>
        <w:spacing w:line="276" w:lineRule="auto"/>
        <w:ind w:left="720" w:hanging="720"/>
      </w:pPr>
      <w:r>
        <w:t xml:space="preserve">Norwegian Directorate of Health. (2018). Utviklingen i norsk kosthold. Helsedirektoratet, Oslo. </w:t>
      </w:r>
      <w:r w:rsidRPr="00FE497A">
        <w:t>Retrieved from: https://helsedirektoratet.no/Lists/Publikasjoner/Attachments/1479/Utviklingen-i-norsk-kosthold-2018-IS-2759.pdf</w:t>
      </w:r>
    </w:p>
    <w:p w14:paraId="05B02847" w14:textId="51D97405" w:rsidR="00934EFA" w:rsidRPr="00096EBB" w:rsidRDefault="00934EFA" w:rsidP="00003C1B">
      <w:pPr>
        <w:pStyle w:val="EndNoteBibliography"/>
        <w:spacing w:line="276" w:lineRule="auto"/>
        <w:ind w:left="720" w:hanging="720"/>
      </w:pPr>
      <w:r w:rsidRPr="003F45DA">
        <w:t xml:space="preserve">NOU. (2011). Mat, makt og avmakt - om styrkeforholdene i verdikjeden for mat. </w:t>
      </w:r>
      <w:r w:rsidRPr="003F45DA">
        <w:rPr>
          <w:i/>
        </w:rPr>
        <w:t xml:space="preserve">Departementets servicesenter, Informasjonsforvaltning, (4), Oslo. </w:t>
      </w:r>
      <w:r w:rsidRPr="00096EBB">
        <w:t xml:space="preserve">Retrieved from: https://www.regjeringen.no/contentassets/a46b6fc6d9e44882a47be0621ed899a4/no/pdfs/nou201120110004000dddpdfs.pdf. </w:t>
      </w:r>
    </w:p>
    <w:p w14:paraId="5205E70F" w14:textId="77777777" w:rsidR="00934EFA" w:rsidRPr="00FE497A" w:rsidRDefault="00934EFA" w:rsidP="00003C1B">
      <w:pPr>
        <w:pStyle w:val="EndNoteBibliography"/>
        <w:spacing w:line="276" w:lineRule="auto"/>
        <w:ind w:left="720" w:hanging="720"/>
      </w:pPr>
      <w:r w:rsidRPr="003F45DA">
        <w:t xml:space="preserve">NOU. (2013). God handelsskikk i dagligvarekjeden. </w:t>
      </w:r>
      <w:r w:rsidRPr="003F45DA">
        <w:rPr>
          <w:i/>
        </w:rPr>
        <w:t>Departementets servicesenter, Informasjonsforvaltning, (6), Oslo</w:t>
      </w:r>
      <w:r w:rsidRPr="00EF7A0E">
        <w:t>. Retrieved from: https://www.regjeringen.no/contentassets/b1b101a2ecfc4d889894f29653097b09/no/pdfs/nou201320130006000dddpdfs.pdf.</w:t>
      </w:r>
      <w:r w:rsidRPr="00FE497A">
        <w:t xml:space="preserve"> </w:t>
      </w:r>
    </w:p>
    <w:p w14:paraId="35D01407" w14:textId="7D544254" w:rsidR="00EF7A0E" w:rsidRPr="00EF7A0E" w:rsidRDefault="00EF7A0E" w:rsidP="00003C1B">
      <w:pPr>
        <w:pStyle w:val="EndNoteBibliography"/>
        <w:spacing w:line="276" w:lineRule="auto"/>
        <w:ind w:left="720" w:hanging="720"/>
      </w:pPr>
      <w:r w:rsidRPr="00096EBB">
        <w:t xml:space="preserve">NOU. (2017). </w:t>
      </w:r>
      <w:r w:rsidRPr="00EF7A0E">
        <w:t xml:space="preserve">På ein søndag? Reglane om søndagshandel og </w:t>
      </w:r>
      <w:r>
        <w:t xml:space="preserve">konsekvensane av endringar. </w:t>
      </w:r>
      <w:r w:rsidRPr="003F45DA">
        <w:rPr>
          <w:i/>
        </w:rPr>
        <w:t>Departementets servicesenter, Informasjonsforvaltning</w:t>
      </w:r>
      <w:r w:rsidRPr="00EF7A0E">
        <w:t>. Retrieved from: https://www.regjeringen.no/contentassets/179665ba9fe14ea6a6760e2efb9ab063/nn-no/pdfs/nou201720170017000dddpdfs.pdf</w:t>
      </w:r>
    </w:p>
    <w:p w14:paraId="477E1E4A" w14:textId="2A9F215F" w:rsidR="00934EFA" w:rsidRPr="003F45DA" w:rsidRDefault="00934EFA" w:rsidP="00003C1B">
      <w:pPr>
        <w:pStyle w:val="EndNoteBibliography"/>
        <w:spacing w:line="276" w:lineRule="auto"/>
        <w:ind w:left="720" w:hanging="720"/>
      </w:pPr>
      <w:r w:rsidRPr="003F45DA">
        <w:t xml:space="preserve">Oslo Economics. (2017). Etableringshindringer i dagligvaresektoren </w:t>
      </w:r>
      <w:r w:rsidRPr="003F45DA">
        <w:rPr>
          <w:i/>
        </w:rPr>
        <w:t xml:space="preserve">[online] Retrieved from: </w:t>
      </w:r>
      <w:r w:rsidRPr="00934EFA">
        <w:rPr>
          <w:i/>
        </w:rPr>
        <w:t>http://osloeconomics.no/wp-content/uploads/Etableringshindringer-i-dagligvaresektoren_ref2.pdf</w:t>
      </w:r>
      <w:r w:rsidRPr="003F45DA">
        <w:t xml:space="preserve">. </w:t>
      </w:r>
    </w:p>
    <w:p w14:paraId="4C061048" w14:textId="62AF2C0B" w:rsidR="001246CC" w:rsidRPr="00FE497A" w:rsidRDefault="001246CC" w:rsidP="00003C1B">
      <w:pPr>
        <w:pStyle w:val="EndNoteBibliography"/>
        <w:spacing w:line="276" w:lineRule="auto"/>
        <w:ind w:left="720" w:hanging="720"/>
      </w:pPr>
      <w:r>
        <w:t xml:space="preserve">Rema 1000 (2017). Årsrapport 2017. </w:t>
      </w:r>
      <w:r w:rsidRPr="00FE497A">
        <w:t xml:space="preserve">Retrieved from:https://www.rema.no/wordpress/wp-content/uploads/2018/05/17-REMA-1000-Årsrapport-2017.pdf    </w:t>
      </w:r>
    </w:p>
    <w:p w14:paraId="4231D5CF" w14:textId="4A8C5C84" w:rsidR="00BF2D2D" w:rsidRPr="00FE497A" w:rsidRDefault="00BF2D2D" w:rsidP="00003C1B">
      <w:pPr>
        <w:pStyle w:val="EndNoteBibliography"/>
        <w:spacing w:line="276" w:lineRule="auto"/>
        <w:ind w:left="720" w:hanging="720"/>
      </w:pPr>
      <w:r>
        <w:t xml:space="preserve">Torjusen, H. (2004). Tillit til mat i det norske markedet. Hvordan oppfatter forbrukere trygg mat? Statens Institutt for Forbruksforskning, Oppdragsrapport nr. 11, Oslo. </w:t>
      </w:r>
      <w:r w:rsidRPr="00FE497A">
        <w:t>Retrieved from:http://www.hioa.no/extension/hioa/design/hioa/images/sifo/files/file58585_oppdragsrapport_2004-11-web.pdf</w:t>
      </w:r>
    </w:p>
    <w:p w14:paraId="4C5CCFAE" w14:textId="2E59B2EC" w:rsidR="00934EFA" w:rsidRPr="003F45DA" w:rsidRDefault="00934EFA" w:rsidP="00003C1B">
      <w:pPr>
        <w:pStyle w:val="EndNoteBibliography"/>
        <w:spacing w:line="276" w:lineRule="auto"/>
        <w:ind w:left="720" w:hanging="720"/>
      </w:pPr>
      <w:r w:rsidRPr="003F45DA">
        <w:t xml:space="preserve">Virke. (2017). Dagligvarehandelen 2017. </w:t>
      </w:r>
      <w:r w:rsidRPr="003F45DA">
        <w:rPr>
          <w:i/>
        </w:rPr>
        <w:t>Konsis, Virke hovedorganisasjon</w:t>
      </w:r>
      <w:r w:rsidRPr="003F45DA">
        <w:t xml:space="preserve">. </w:t>
      </w:r>
    </w:p>
    <w:p w14:paraId="1F98150A" w14:textId="77777777" w:rsidR="00934EFA" w:rsidRPr="00576D15" w:rsidRDefault="00934EFA" w:rsidP="00162E16">
      <w:pPr>
        <w:spacing w:line="276" w:lineRule="auto"/>
      </w:pPr>
    </w:p>
    <w:p w14:paraId="4C338227" w14:textId="2DEF3BD7" w:rsidR="00D34790" w:rsidRDefault="00D34790"/>
    <w:sectPr w:rsidR="00D34790">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A25D6" w14:textId="77777777" w:rsidR="00934EFA" w:rsidRDefault="00934EFA" w:rsidP="00934EFA">
      <w:r>
        <w:separator/>
      </w:r>
    </w:p>
  </w:endnote>
  <w:endnote w:type="continuationSeparator" w:id="0">
    <w:p w14:paraId="0158B0F5" w14:textId="77777777" w:rsidR="00934EFA" w:rsidRDefault="00934EFA" w:rsidP="0093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31703"/>
      <w:docPartObj>
        <w:docPartGallery w:val="Page Numbers (Bottom of Page)"/>
        <w:docPartUnique/>
      </w:docPartObj>
    </w:sdtPr>
    <w:sdtEndPr/>
    <w:sdtContent>
      <w:p w14:paraId="2C766E3D" w14:textId="126B08E1" w:rsidR="000C44CB" w:rsidRDefault="00003C1B">
        <w:pPr>
          <w:pStyle w:val="Bunntekst"/>
          <w:jc w:val="right"/>
        </w:pPr>
        <w:r>
          <w:fldChar w:fldCharType="begin"/>
        </w:r>
        <w:r>
          <w:instrText>PAGE   \* MERGEFORMAT</w:instrText>
        </w:r>
        <w:r>
          <w:fldChar w:fldCharType="separate"/>
        </w:r>
        <w:r w:rsidR="00096EBB">
          <w:rPr>
            <w:noProof/>
          </w:rPr>
          <w:t>3</w:t>
        </w:r>
        <w:r>
          <w:fldChar w:fldCharType="end"/>
        </w:r>
      </w:p>
    </w:sdtContent>
  </w:sdt>
  <w:p w14:paraId="566FDEDE" w14:textId="77777777" w:rsidR="000C44CB" w:rsidRDefault="00096E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798D1" w14:textId="77777777" w:rsidR="00934EFA" w:rsidRDefault="00934EFA" w:rsidP="00934EFA">
      <w:r>
        <w:separator/>
      </w:r>
    </w:p>
  </w:footnote>
  <w:footnote w:type="continuationSeparator" w:id="0">
    <w:p w14:paraId="5941162C" w14:textId="77777777" w:rsidR="00934EFA" w:rsidRDefault="00934EFA" w:rsidP="00934EFA">
      <w:r>
        <w:continuationSeparator/>
      </w:r>
    </w:p>
  </w:footnote>
  <w:footnote w:id="1">
    <w:p w14:paraId="3190E535" w14:textId="528DBAB5" w:rsidR="00934EFA" w:rsidRPr="00280DB1" w:rsidRDefault="00934EFA" w:rsidP="00280DB1">
      <w:pPr>
        <w:spacing w:line="276" w:lineRule="auto"/>
        <w:rPr>
          <w:sz w:val="18"/>
          <w:szCs w:val="18"/>
          <w:lang w:val="en-US" w:eastAsia="en-US"/>
        </w:rPr>
      </w:pPr>
      <w:r w:rsidRPr="00280DB1">
        <w:rPr>
          <w:rStyle w:val="Fotnotereferanse"/>
          <w:sz w:val="18"/>
          <w:szCs w:val="18"/>
        </w:rPr>
        <w:footnoteRef/>
      </w:r>
      <w:r w:rsidRPr="00280DB1">
        <w:rPr>
          <w:sz w:val="18"/>
          <w:szCs w:val="18"/>
          <w:lang w:val="en-US"/>
        </w:rPr>
        <w:t xml:space="preserve"> </w:t>
      </w:r>
      <w:r w:rsidR="00445687">
        <w:rPr>
          <w:sz w:val="18"/>
          <w:szCs w:val="18"/>
          <w:lang w:val="en-US" w:eastAsia="en-US"/>
        </w:rPr>
        <w:t>F</w:t>
      </w:r>
      <w:r w:rsidRPr="00280DB1">
        <w:rPr>
          <w:sz w:val="18"/>
          <w:szCs w:val="18"/>
          <w:lang w:val="en-US" w:eastAsia="en-US"/>
        </w:rPr>
        <w:t xml:space="preserve">igures include turnover for all cooperatives and privately owned </w:t>
      </w:r>
      <w:r>
        <w:rPr>
          <w:sz w:val="18"/>
          <w:szCs w:val="18"/>
          <w:lang w:val="en-US" w:eastAsia="en-US"/>
        </w:rPr>
        <w:t>stores</w:t>
      </w:r>
      <w:r w:rsidRPr="00280DB1">
        <w:rPr>
          <w:sz w:val="18"/>
          <w:szCs w:val="18"/>
          <w:lang w:val="en-US" w:eastAsia="en-US"/>
        </w:rPr>
        <w:t>, but excludes turnover for box schemes and online food shopping.</w:t>
      </w:r>
    </w:p>
  </w:footnote>
  <w:footnote w:id="2">
    <w:p w14:paraId="0E99A69C" w14:textId="68BDC600" w:rsidR="000364EC" w:rsidRPr="000364EC" w:rsidRDefault="000364EC">
      <w:pPr>
        <w:pStyle w:val="Fotnotetekst"/>
        <w:rPr>
          <w:lang w:val="en-US"/>
        </w:rPr>
      </w:pPr>
      <w:r>
        <w:rPr>
          <w:rStyle w:val="Fotnotereferanse"/>
        </w:rPr>
        <w:footnoteRef/>
      </w:r>
      <w:r w:rsidRPr="000364EC">
        <w:rPr>
          <w:lang w:val="en-US"/>
        </w:rPr>
        <w:t xml:space="preserve"> </w:t>
      </w:r>
      <w:r>
        <w:rPr>
          <w:lang w:val="en-US"/>
        </w:rPr>
        <w:t>Larger cities and urban areas in Norway generally have better access to food (e.g., many stores that are typically closer in proximity, more stores open on Sunday’s</w:t>
      </w:r>
      <w:r w:rsidR="00A23716">
        <w:rPr>
          <w:lang w:val="en-US"/>
        </w:rPr>
        <w:t>,</w:t>
      </w:r>
      <w:r>
        <w:rPr>
          <w:lang w:val="en-US"/>
        </w:rPr>
        <w:t xml:space="preserve"> and extended opening hours in general) </w:t>
      </w:r>
      <w:r w:rsidR="00A23716">
        <w:rPr>
          <w:lang w:val="en-US"/>
        </w:rPr>
        <w:t>compared to smaller cities</w:t>
      </w:r>
      <w:r>
        <w:rPr>
          <w:lang w:val="en-US"/>
        </w:rPr>
        <w:t xml:space="preserve"> and remote areas, although this has only been the case for a short while (i.e., a few years). </w:t>
      </w:r>
    </w:p>
  </w:footnote>
  <w:footnote w:id="3">
    <w:p w14:paraId="4B9F41BD" w14:textId="6AFCF458" w:rsidR="007A566D" w:rsidRPr="007A566D" w:rsidRDefault="007A566D">
      <w:pPr>
        <w:pStyle w:val="Fotnotetekst"/>
        <w:rPr>
          <w:lang w:val="en-US"/>
        </w:rPr>
      </w:pPr>
      <w:r>
        <w:rPr>
          <w:rStyle w:val="Fotnotereferanse"/>
        </w:rPr>
        <w:footnoteRef/>
      </w:r>
      <w:r w:rsidRPr="007A566D">
        <w:rPr>
          <w:lang w:val="en-US"/>
        </w:rPr>
        <w:t xml:space="preserve"> This number is not exhaustive and excludes sales from</w:t>
      </w:r>
      <w:r w:rsidR="00D05C92">
        <w:rPr>
          <w:lang w:val="en-US"/>
        </w:rPr>
        <w:t xml:space="preserve"> </w:t>
      </w:r>
      <w:r>
        <w:rPr>
          <w:lang w:val="en-US"/>
        </w:rPr>
        <w:t>for example food box schemes (Dagligvarefasiten,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0604" w14:textId="77777777" w:rsidR="000C44CB" w:rsidRDefault="00003C1B" w:rsidP="00E04450">
    <w:pPr>
      <w:pStyle w:val="Bunntekst"/>
    </w:pPr>
    <w:r w:rsidRPr="00063D71">
      <w:rPr>
        <w:noProof/>
        <w:lang w:val="en-US" w:eastAsia="en-US"/>
      </w:rPr>
      <w:drawing>
        <wp:anchor distT="0" distB="0" distL="114300" distR="114300" simplePos="0" relativeHeight="251659264" behindDoc="0" locked="0" layoutInCell="1" allowOverlap="1" wp14:anchorId="76ECA66B" wp14:editId="6FB944CA">
          <wp:simplePos x="0" y="0"/>
          <wp:positionH relativeFrom="column">
            <wp:posOffset>4866005</wp:posOffset>
          </wp:positionH>
          <wp:positionV relativeFrom="paragraph">
            <wp:posOffset>-190500</wp:posOffset>
          </wp:positionV>
          <wp:extent cx="895350" cy="819785"/>
          <wp:effectExtent l="0" t="0" r="0" b="0"/>
          <wp:wrapSquare wrapText="bothSides"/>
          <wp:docPr id="1" name="Picture 1" descr="C:\Users\kamillak\AppData\Local\Microsoft\Windows\INetCache\Content.Outlook\LEC3695F\PLATEFORMS logo_SMALL_WHITE BAC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lak\AppData\Local\Microsoft\Windows\INetCache\Content.Outlook\LEC3695F\PLATEFORMS logo_SMALL_WHITE BACK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F9287" w14:textId="77777777" w:rsidR="000C44CB" w:rsidRPr="00A45C28" w:rsidRDefault="00003C1B" w:rsidP="00E04450">
    <w:pPr>
      <w:pStyle w:val="Bunntekst"/>
      <w:rPr>
        <w:rFonts w:cs="Arial"/>
        <w:b/>
        <w:noProof/>
        <w:sz w:val="16"/>
        <w:szCs w:val="16"/>
        <w:lang w:val="en-GB"/>
      </w:rPr>
    </w:pPr>
    <w:r>
      <w:rPr>
        <w:rFonts w:cs="Arial"/>
        <w:b/>
        <w:noProof/>
        <w:sz w:val="16"/>
        <w:szCs w:val="16"/>
        <w:lang w:val="en-GB"/>
      </w:rPr>
      <w:t>OSLO METROPOLITAN UNIVERSITY</w:t>
    </w:r>
  </w:p>
  <w:p w14:paraId="55554565" w14:textId="77777777" w:rsidR="000C44CB" w:rsidRPr="00A45C28" w:rsidRDefault="00003C1B" w:rsidP="00E04450">
    <w:pPr>
      <w:pStyle w:val="Bunntekst"/>
      <w:rPr>
        <w:sz w:val="18"/>
        <w:szCs w:val="18"/>
        <w:lang w:val="en-GB"/>
      </w:rPr>
    </w:pPr>
    <w:r w:rsidRPr="00A45C28">
      <w:rPr>
        <w:rFonts w:cs="Arial"/>
        <w:noProof/>
        <w:sz w:val="18"/>
        <w:szCs w:val="18"/>
        <w:lang w:val="en-GB"/>
      </w:rPr>
      <w:t>Consumption Research Norway</w:t>
    </w:r>
  </w:p>
  <w:p w14:paraId="4354134D" w14:textId="77777777" w:rsidR="000C44CB" w:rsidRPr="00670F06" w:rsidRDefault="00096EBB" w:rsidP="00E04450">
    <w:pPr>
      <w:pStyle w:val="Topptekst"/>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A45"/>
    <w:multiLevelType w:val="hybridMultilevel"/>
    <w:tmpl w:val="23A278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417AE0"/>
    <w:multiLevelType w:val="hybridMultilevel"/>
    <w:tmpl w:val="50E27CE8"/>
    <w:lvl w:ilvl="0" w:tplc="616CF7CA">
      <w:start w:val="1"/>
      <w:numFmt w:val="bullet"/>
      <w:lvlText w:val="•"/>
      <w:lvlJc w:val="left"/>
      <w:pPr>
        <w:tabs>
          <w:tab w:val="num" w:pos="720"/>
        </w:tabs>
        <w:ind w:left="720" w:hanging="360"/>
      </w:pPr>
      <w:rPr>
        <w:rFonts w:ascii="Arial" w:hAnsi="Arial" w:hint="default"/>
      </w:rPr>
    </w:lvl>
    <w:lvl w:ilvl="1" w:tplc="BFF6B666" w:tentative="1">
      <w:start w:val="1"/>
      <w:numFmt w:val="bullet"/>
      <w:lvlText w:val="•"/>
      <w:lvlJc w:val="left"/>
      <w:pPr>
        <w:tabs>
          <w:tab w:val="num" w:pos="1440"/>
        </w:tabs>
        <w:ind w:left="1440" w:hanging="360"/>
      </w:pPr>
      <w:rPr>
        <w:rFonts w:ascii="Arial" w:hAnsi="Arial" w:hint="default"/>
      </w:rPr>
    </w:lvl>
    <w:lvl w:ilvl="2" w:tplc="205846AA" w:tentative="1">
      <w:start w:val="1"/>
      <w:numFmt w:val="bullet"/>
      <w:lvlText w:val="•"/>
      <w:lvlJc w:val="left"/>
      <w:pPr>
        <w:tabs>
          <w:tab w:val="num" w:pos="2160"/>
        </w:tabs>
        <w:ind w:left="2160" w:hanging="360"/>
      </w:pPr>
      <w:rPr>
        <w:rFonts w:ascii="Arial" w:hAnsi="Arial" w:hint="default"/>
      </w:rPr>
    </w:lvl>
    <w:lvl w:ilvl="3" w:tplc="60B47582" w:tentative="1">
      <w:start w:val="1"/>
      <w:numFmt w:val="bullet"/>
      <w:lvlText w:val="•"/>
      <w:lvlJc w:val="left"/>
      <w:pPr>
        <w:tabs>
          <w:tab w:val="num" w:pos="2880"/>
        </w:tabs>
        <w:ind w:left="2880" w:hanging="360"/>
      </w:pPr>
      <w:rPr>
        <w:rFonts w:ascii="Arial" w:hAnsi="Arial" w:hint="default"/>
      </w:rPr>
    </w:lvl>
    <w:lvl w:ilvl="4" w:tplc="84F2CAA4" w:tentative="1">
      <w:start w:val="1"/>
      <w:numFmt w:val="bullet"/>
      <w:lvlText w:val="•"/>
      <w:lvlJc w:val="left"/>
      <w:pPr>
        <w:tabs>
          <w:tab w:val="num" w:pos="3600"/>
        </w:tabs>
        <w:ind w:left="3600" w:hanging="360"/>
      </w:pPr>
      <w:rPr>
        <w:rFonts w:ascii="Arial" w:hAnsi="Arial" w:hint="default"/>
      </w:rPr>
    </w:lvl>
    <w:lvl w:ilvl="5" w:tplc="8BDAC3F0" w:tentative="1">
      <w:start w:val="1"/>
      <w:numFmt w:val="bullet"/>
      <w:lvlText w:val="•"/>
      <w:lvlJc w:val="left"/>
      <w:pPr>
        <w:tabs>
          <w:tab w:val="num" w:pos="4320"/>
        </w:tabs>
        <w:ind w:left="4320" w:hanging="360"/>
      </w:pPr>
      <w:rPr>
        <w:rFonts w:ascii="Arial" w:hAnsi="Arial" w:hint="default"/>
      </w:rPr>
    </w:lvl>
    <w:lvl w:ilvl="6" w:tplc="63B81602" w:tentative="1">
      <w:start w:val="1"/>
      <w:numFmt w:val="bullet"/>
      <w:lvlText w:val="•"/>
      <w:lvlJc w:val="left"/>
      <w:pPr>
        <w:tabs>
          <w:tab w:val="num" w:pos="5040"/>
        </w:tabs>
        <w:ind w:left="5040" w:hanging="360"/>
      </w:pPr>
      <w:rPr>
        <w:rFonts w:ascii="Arial" w:hAnsi="Arial" w:hint="default"/>
      </w:rPr>
    </w:lvl>
    <w:lvl w:ilvl="7" w:tplc="95766C52" w:tentative="1">
      <w:start w:val="1"/>
      <w:numFmt w:val="bullet"/>
      <w:lvlText w:val="•"/>
      <w:lvlJc w:val="left"/>
      <w:pPr>
        <w:tabs>
          <w:tab w:val="num" w:pos="5760"/>
        </w:tabs>
        <w:ind w:left="5760" w:hanging="360"/>
      </w:pPr>
      <w:rPr>
        <w:rFonts w:ascii="Arial" w:hAnsi="Arial" w:hint="default"/>
      </w:rPr>
    </w:lvl>
    <w:lvl w:ilvl="8" w:tplc="220ED3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591BC5"/>
    <w:multiLevelType w:val="hybridMultilevel"/>
    <w:tmpl w:val="4D98485C"/>
    <w:lvl w:ilvl="0" w:tplc="1B6C5D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30FCE"/>
    <w:multiLevelType w:val="hybridMultilevel"/>
    <w:tmpl w:val="7FB82982"/>
    <w:lvl w:ilvl="0" w:tplc="0A42C7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75BF1"/>
    <w:multiLevelType w:val="hybridMultilevel"/>
    <w:tmpl w:val="E988A962"/>
    <w:lvl w:ilvl="0" w:tplc="8A6E43FA">
      <w:start w:val="1"/>
      <w:numFmt w:val="bullet"/>
      <w:lvlText w:val="•"/>
      <w:lvlJc w:val="left"/>
      <w:pPr>
        <w:tabs>
          <w:tab w:val="num" w:pos="720"/>
        </w:tabs>
        <w:ind w:left="720" w:hanging="360"/>
      </w:pPr>
      <w:rPr>
        <w:rFonts w:ascii="Arial" w:hAnsi="Arial" w:hint="default"/>
      </w:rPr>
    </w:lvl>
    <w:lvl w:ilvl="1" w:tplc="22B868EA" w:tentative="1">
      <w:start w:val="1"/>
      <w:numFmt w:val="bullet"/>
      <w:lvlText w:val="•"/>
      <w:lvlJc w:val="left"/>
      <w:pPr>
        <w:tabs>
          <w:tab w:val="num" w:pos="1440"/>
        </w:tabs>
        <w:ind w:left="1440" w:hanging="360"/>
      </w:pPr>
      <w:rPr>
        <w:rFonts w:ascii="Arial" w:hAnsi="Arial" w:hint="default"/>
      </w:rPr>
    </w:lvl>
    <w:lvl w:ilvl="2" w:tplc="688089A4" w:tentative="1">
      <w:start w:val="1"/>
      <w:numFmt w:val="bullet"/>
      <w:lvlText w:val="•"/>
      <w:lvlJc w:val="left"/>
      <w:pPr>
        <w:tabs>
          <w:tab w:val="num" w:pos="2160"/>
        </w:tabs>
        <w:ind w:left="2160" w:hanging="360"/>
      </w:pPr>
      <w:rPr>
        <w:rFonts w:ascii="Arial" w:hAnsi="Arial" w:hint="default"/>
      </w:rPr>
    </w:lvl>
    <w:lvl w:ilvl="3" w:tplc="FC7CD4EA" w:tentative="1">
      <w:start w:val="1"/>
      <w:numFmt w:val="bullet"/>
      <w:lvlText w:val="•"/>
      <w:lvlJc w:val="left"/>
      <w:pPr>
        <w:tabs>
          <w:tab w:val="num" w:pos="2880"/>
        </w:tabs>
        <w:ind w:left="2880" w:hanging="360"/>
      </w:pPr>
      <w:rPr>
        <w:rFonts w:ascii="Arial" w:hAnsi="Arial" w:hint="default"/>
      </w:rPr>
    </w:lvl>
    <w:lvl w:ilvl="4" w:tplc="B8006B68" w:tentative="1">
      <w:start w:val="1"/>
      <w:numFmt w:val="bullet"/>
      <w:lvlText w:val="•"/>
      <w:lvlJc w:val="left"/>
      <w:pPr>
        <w:tabs>
          <w:tab w:val="num" w:pos="3600"/>
        </w:tabs>
        <w:ind w:left="3600" w:hanging="360"/>
      </w:pPr>
      <w:rPr>
        <w:rFonts w:ascii="Arial" w:hAnsi="Arial" w:hint="default"/>
      </w:rPr>
    </w:lvl>
    <w:lvl w:ilvl="5" w:tplc="D83ADE2E" w:tentative="1">
      <w:start w:val="1"/>
      <w:numFmt w:val="bullet"/>
      <w:lvlText w:val="•"/>
      <w:lvlJc w:val="left"/>
      <w:pPr>
        <w:tabs>
          <w:tab w:val="num" w:pos="4320"/>
        </w:tabs>
        <w:ind w:left="4320" w:hanging="360"/>
      </w:pPr>
      <w:rPr>
        <w:rFonts w:ascii="Arial" w:hAnsi="Arial" w:hint="default"/>
      </w:rPr>
    </w:lvl>
    <w:lvl w:ilvl="6" w:tplc="4D1EC6FC" w:tentative="1">
      <w:start w:val="1"/>
      <w:numFmt w:val="bullet"/>
      <w:lvlText w:val="•"/>
      <w:lvlJc w:val="left"/>
      <w:pPr>
        <w:tabs>
          <w:tab w:val="num" w:pos="5040"/>
        </w:tabs>
        <w:ind w:left="5040" w:hanging="360"/>
      </w:pPr>
      <w:rPr>
        <w:rFonts w:ascii="Arial" w:hAnsi="Arial" w:hint="default"/>
      </w:rPr>
    </w:lvl>
    <w:lvl w:ilvl="7" w:tplc="5324E598" w:tentative="1">
      <w:start w:val="1"/>
      <w:numFmt w:val="bullet"/>
      <w:lvlText w:val="•"/>
      <w:lvlJc w:val="left"/>
      <w:pPr>
        <w:tabs>
          <w:tab w:val="num" w:pos="5760"/>
        </w:tabs>
        <w:ind w:left="5760" w:hanging="360"/>
      </w:pPr>
      <w:rPr>
        <w:rFonts w:ascii="Arial" w:hAnsi="Arial" w:hint="default"/>
      </w:rPr>
    </w:lvl>
    <w:lvl w:ilvl="8" w:tplc="9F3654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A9792D"/>
    <w:multiLevelType w:val="hybridMultilevel"/>
    <w:tmpl w:val="28D003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479A2541"/>
    <w:multiLevelType w:val="hybridMultilevel"/>
    <w:tmpl w:val="F372E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E11AF3"/>
    <w:multiLevelType w:val="hybridMultilevel"/>
    <w:tmpl w:val="1410151A"/>
    <w:lvl w:ilvl="0" w:tplc="883CFBF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E1A43"/>
    <w:multiLevelType w:val="hybridMultilevel"/>
    <w:tmpl w:val="79F40A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CEC495C"/>
    <w:multiLevelType w:val="hybridMultilevel"/>
    <w:tmpl w:val="CC7E8E16"/>
    <w:lvl w:ilvl="0" w:tplc="AD46DD92">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D35D6F"/>
    <w:multiLevelType w:val="hybridMultilevel"/>
    <w:tmpl w:val="3560EC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5246A66"/>
    <w:multiLevelType w:val="hybridMultilevel"/>
    <w:tmpl w:val="1BD0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D4F06"/>
    <w:multiLevelType w:val="hybridMultilevel"/>
    <w:tmpl w:val="7372793C"/>
    <w:lvl w:ilvl="0" w:tplc="663ECEE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2"/>
  </w:num>
  <w:num w:numId="8">
    <w:abstractNumId w:val="9"/>
  </w:num>
  <w:num w:numId="9">
    <w:abstractNumId w:val="1"/>
  </w:num>
  <w:num w:numId="10">
    <w:abstractNumId w:val="4"/>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34EFA"/>
    <w:rsid w:val="00003C1B"/>
    <w:rsid w:val="000050A9"/>
    <w:rsid w:val="00016922"/>
    <w:rsid w:val="000254F5"/>
    <w:rsid w:val="00031B7C"/>
    <w:rsid w:val="00032257"/>
    <w:rsid w:val="00032945"/>
    <w:rsid w:val="000364EC"/>
    <w:rsid w:val="00065680"/>
    <w:rsid w:val="00075D07"/>
    <w:rsid w:val="00080BB1"/>
    <w:rsid w:val="00096EBB"/>
    <w:rsid w:val="000A4DC2"/>
    <w:rsid w:val="000B36A9"/>
    <w:rsid w:val="000B6FE2"/>
    <w:rsid w:val="000B7044"/>
    <w:rsid w:val="000C757E"/>
    <w:rsid w:val="000D7482"/>
    <w:rsid w:val="000E2B55"/>
    <w:rsid w:val="000F47E6"/>
    <w:rsid w:val="0011355C"/>
    <w:rsid w:val="00121321"/>
    <w:rsid w:val="001246CC"/>
    <w:rsid w:val="00142DB4"/>
    <w:rsid w:val="0014394E"/>
    <w:rsid w:val="001445F8"/>
    <w:rsid w:val="001464A9"/>
    <w:rsid w:val="00147339"/>
    <w:rsid w:val="00153433"/>
    <w:rsid w:val="00155280"/>
    <w:rsid w:val="0015531C"/>
    <w:rsid w:val="00161C5D"/>
    <w:rsid w:val="001630B1"/>
    <w:rsid w:val="00172CF9"/>
    <w:rsid w:val="001903AB"/>
    <w:rsid w:val="001A27C1"/>
    <w:rsid w:val="001C3373"/>
    <w:rsid w:val="001D7651"/>
    <w:rsid w:val="001F61BF"/>
    <w:rsid w:val="002005BC"/>
    <w:rsid w:val="00202230"/>
    <w:rsid w:val="00204BF0"/>
    <w:rsid w:val="00206CCB"/>
    <w:rsid w:val="002073E2"/>
    <w:rsid w:val="002206B9"/>
    <w:rsid w:val="00253680"/>
    <w:rsid w:val="002574C3"/>
    <w:rsid w:val="0026340C"/>
    <w:rsid w:val="0027337B"/>
    <w:rsid w:val="00274B43"/>
    <w:rsid w:val="00291836"/>
    <w:rsid w:val="002961F8"/>
    <w:rsid w:val="002A5CFC"/>
    <w:rsid w:val="002B31BC"/>
    <w:rsid w:val="002C0313"/>
    <w:rsid w:val="002C0662"/>
    <w:rsid w:val="002D1676"/>
    <w:rsid w:val="002D4302"/>
    <w:rsid w:val="002E478E"/>
    <w:rsid w:val="00300F5C"/>
    <w:rsid w:val="0030480B"/>
    <w:rsid w:val="00322E54"/>
    <w:rsid w:val="00324914"/>
    <w:rsid w:val="00325AA4"/>
    <w:rsid w:val="003300A3"/>
    <w:rsid w:val="00337F88"/>
    <w:rsid w:val="003608EB"/>
    <w:rsid w:val="00385985"/>
    <w:rsid w:val="00394B54"/>
    <w:rsid w:val="003B6C10"/>
    <w:rsid w:val="003B7D0E"/>
    <w:rsid w:val="003D02DE"/>
    <w:rsid w:val="003D6DF3"/>
    <w:rsid w:val="003E221B"/>
    <w:rsid w:val="00403655"/>
    <w:rsid w:val="0041063B"/>
    <w:rsid w:val="00413F2D"/>
    <w:rsid w:val="00445687"/>
    <w:rsid w:val="00451893"/>
    <w:rsid w:val="00471C23"/>
    <w:rsid w:val="00476139"/>
    <w:rsid w:val="0047660A"/>
    <w:rsid w:val="004804F6"/>
    <w:rsid w:val="004856BC"/>
    <w:rsid w:val="004B59E6"/>
    <w:rsid w:val="004C521D"/>
    <w:rsid w:val="004F0EA3"/>
    <w:rsid w:val="004F36D5"/>
    <w:rsid w:val="00514165"/>
    <w:rsid w:val="00517A71"/>
    <w:rsid w:val="00517C23"/>
    <w:rsid w:val="00530F1D"/>
    <w:rsid w:val="00555ADB"/>
    <w:rsid w:val="00557E06"/>
    <w:rsid w:val="00561A19"/>
    <w:rsid w:val="005645D6"/>
    <w:rsid w:val="00574095"/>
    <w:rsid w:val="00596B40"/>
    <w:rsid w:val="00597B40"/>
    <w:rsid w:val="005B3881"/>
    <w:rsid w:val="005D0D62"/>
    <w:rsid w:val="005E01BA"/>
    <w:rsid w:val="00610067"/>
    <w:rsid w:val="0061050E"/>
    <w:rsid w:val="00632A2C"/>
    <w:rsid w:val="006472FC"/>
    <w:rsid w:val="00660434"/>
    <w:rsid w:val="0066185D"/>
    <w:rsid w:val="006638D8"/>
    <w:rsid w:val="00665815"/>
    <w:rsid w:val="00677994"/>
    <w:rsid w:val="006B4F4B"/>
    <w:rsid w:val="006D4164"/>
    <w:rsid w:val="006D79C8"/>
    <w:rsid w:val="006E0388"/>
    <w:rsid w:val="006F25E8"/>
    <w:rsid w:val="006F2675"/>
    <w:rsid w:val="00701DDF"/>
    <w:rsid w:val="00704AE9"/>
    <w:rsid w:val="00711532"/>
    <w:rsid w:val="00727880"/>
    <w:rsid w:val="00743E0B"/>
    <w:rsid w:val="00750ED7"/>
    <w:rsid w:val="00760AC0"/>
    <w:rsid w:val="0078383D"/>
    <w:rsid w:val="0079210B"/>
    <w:rsid w:val="00793808"/>
    <w:rsid w:val="00796D15"/>
    <w:rsid w:val="007A071F"/>
    <w:rsid w:val="007A566D"/>
    <w:rsid w:val="007D6C91"/>
    <w:rsid w:val="007D6F48"/>
    <w:rsid w:val="007E0EC7"/>
    <w:rsid w:val="007E769F"/>
    <w:rsid w:val="00801F1A"/>
    <w:rsid w:val="0081437E"/>
    <w:rsid w:val="008218EC"/>
    <w:rsid w:val="00843C0B"/>
    <w:rsid w:val="00845D8B"/>
    <w:rsid w:val="008514B4"/>
    <w:rsid w:val="00851D3D"/>
    <w:rsid w:val="00851F05"/>
    <w:rsid w:val="008667E5"/>
    <w:rsid w:val="008744EA"/>
    <w:rsid w:val="008764F0"/>
    <w:rsid w:val="00876C6E"/>
    <w:rsid w:val="0088342E"/>
    <w:rsid w:val="00894C31"/>
    <w:rsid w:val="008A2ED8"/>
    <w:rsid w:val="008A5AC5"/>
    <w:rsid w:val="008B2D69"/>
    <w:rsid w:val="008B51B1"/>
    <w:rsid w:val="008F41A7"/>
    <w:rsid w:val="009015D4"/>
    <w:rsid w:val="00913F3F"/>
    <w:rsid w:val="00924494"/>
    <w:rsid w:val="00926F17"/>
    <w:rsid w:val="009312AB"/>
    <w:rsid w:val="009346BB"/>
    <w:rsid w:val="00934EFA"/>
    <w:rsid w:val="00940FE6"/>
    <w:rsid w:val="00941CC1"/>
    <w:rsid w:val="00943DC2"/>
    <w:rsid w:val="0097434E"/>
    <w:rsid w:val="00975C4F"/>
    <w:rsid w:val="009847E1"/>
    <w:rsid w:val="00984B39"/>
    <w:rsid w:val="0099231E"/>
    <w:rsid w:val="00997724"/>
    <w:rsid w:val="009A0C83"/>
    <w:rsid w:val="009A4FF7"/>
    <w:rsid w:val="009A79C5"/>
    <w:rsid w:val="009A7F07"/>
    <w:rsid w:val="00A07640"/>
    <w:rsid w:val="00A23716"/>
    <w:rsid w:val="00A329BF"/>
    <w:rsid w:val="00A670F8"/>
    <w:rsid w:val="00A67848"/>
    <w:rsid w:val="00A765CF"/>
    <w:rsid w:val="00A84119"/>
    <w:rsid w:val="00A9448A"/>
    <w:rsid w:val="00A955BC"/>
    <w:rsid w:val="00A956A5"/>
    <w:rsid w:val="00A96050"/>
    <w:rsid w:val="00A9652C"/>
    <w:rsid w:val="00AA15B6"/>
    <w:rsid w:val="00AB001B"/>
    <w:rsid w:val="00AD1F65"/>
    <w:rsid w:val="00AF38BD"/>
    <w:rsid w:val="00B0768D"/>
    <w:rsid w:val="00B07B91"/>
    <w:rsid w:val="00B168D8"/>
    <w:rsid w:val="00B17DBF"/>
    <w:rsid w:val="00B21CEC"/>
    <w:rsid w:val="00B24FA6"/>
    <w:rsid w:val="00B32F04"/>
    <w:rsid w:val="00B33F6E"/>
    <w:rsid w:val="00B44EE4"/>
    <w:rsid w:val="00B45165"/>
    <w:rsid w:val="00B460B8"/>
    <w:rsid w:val="00B4707B"/>
    <w:rsid w:val="00B61398"/>
    <w:rsid w:val="00B8397D"/>
    <w:rsid w:val="00B875CE"/>
    <w:rsid w:val="00B90219"/>
    <w:rsid w:val="00B96BEF"/>
    <w:rsid w:val="00BA0394"/>
    <w:rsid w:val="00BA4277"/>
    <w:rsid w:val="00BB23B7"/>
    <w:rsid w:val="00BB402B"/>
    <w:rsid w:val="00BD2246"/>
    <w:rsid w:val="00BF0DDF"/>
    <w:rsid w:val="00BF2D2D"/>
    <w:rsid w:val="00BF7F28"/>
    <w:rsid w:val="00C14ADD"/>
    <w:rsid w:val="00C22234"/>
    <w:rsid w:val="00C30C46"/>
    <w:rsid w:val="00C364F1"/>
    <w:rsid w:val="00C40A03"/>
    <w:rsid w:val="00C42934"/>
    <w:rsid w:val="00C53FB9"/>
    <w:rsid w:val="00C66D5F"/>
    <w:rsid w:val="00C77AF7"/>
    <w:rsid w:val="00C83AE1"/>
    <w:rsid w:val="00C96064"/>
    <w:rsid w:val="00CA2138"/>
    <w:rsid w:val="00CA388A"/>
    <w:rsid w:val="00CA5AFC"/>
    <w:rsid w:val="00CB454A"/>
    <w:rsid w:val="00CD3C47"/>
    <w:rsid w:val="00CF4CBA"/>
    <w:rsid w:val="00CF6197"/>
    <w:rsid w:val="00D05C92"/>
    <w:rsid w:val="00D12721"/>
    <w:rsid w:val="00D16B4F"/>
    <w:rsid w:val="00D20D53"/>
    <w:rsid w:val="00D22B1B"/>
    <w:rsid w:val="00D23FD4"/>
    <w:rsid w:val="00D271BD"/>
    <w:rsid w:val="00D34790"/>
    <w:rsid w:val="00D4366F"/>
    <w:rsid w:val="00D47DF3"/>
    <w:rsid w:val="00D620E6"/>
    <w:rsid w:val="00D626BE"/>
    <w:rsid w:val="00D64FDA"/>
    <w:rsid w:val="00D876CE"/>
    <w:rsid w:val="00D91F18"/>
    <w:rsid w:val="00D930CD"/>
    <w:rsid w:val="00DA20A4"/>
    <w:rsid w:val="00DB5F06"/>
    <w:rsid w:val="00DC0864"/>
    <w:rsid w:val="00DD139E"/>
    <w:rsid w:val="00DD54A1"/>
    <w:rsid w:val="00DE071E"/>
    <w:rsid w:val="00E172F6"/>
    <w:rsid w:val="00E35F43"/>
    <w:rsid w:val="00E44439"/>
    <w:rsid w:val="00E512DB"/>
    <w:rsid w:val="00E60480"/>
    <w:rsid w:val="00E73321"/>
    <w:rsid w:val="00E916FE"/>
    <w:rsid w:val="00EA3475"/>
    <w:rsid w:val="00EA3EB4"/>
    <w:rsid w:val="00EB0936"/>
    <w:rsid w:val="00EB3AAA"/>
    <w:rsid w:val="00EB7056"/>
    <w:rsid w:val="00EC1382"/>
    <w:rsid w:val="00ED51DB"/>
    <w:rsid w:val="00ED5D2B"/>
    <w:rsid w:val="00EF75F6"/>
    <w:rsid w:val="00EF7A0E"/>
    <w:rsid w:val="00F17654"/>
    <w:rsid w:val="00F26699"/>
    <w:rsid w:val="00F5567E"/>
    <w:rsid w:val="00F61E11"/>
    <w:rsid w:val="00F754A9"/>
    <w:rsid w:val="00F84F26"/>
    <w:rsid w:val="00FB20B4"/>
    <w:rsid w:val="00FB313D"/>
    <w:rsid w:val="00FB3A12"/>
    <w:rsid w:val="00FC74B1"/>
    <w:rsid w:val="00FE497A"/>
    <w:rsid w:val="00FE4C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8A48F"/>
  <w15:chartTrackingRefBased/>
  <w15:docId w15:val="{C6E4429D-EAC7-4AFE-9D7D-E277536E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FA"/>
    <w:pPr>
      <w:spacing w:after="0"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uiPriority w:val="9"/>
    <w:qFormat/>
    <w:rsid w:val="00934E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34E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34EFA"/>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34EFA"/>
    <w:rPr>
      <w:rFonts w:asciiTheme="majorHAnsi" w:eastAsiaTheme="majorEastAsia" w:hAnsiTheme="majorHAnsi" w:cstheme="majorBidi"/>
      <w:color w:val="2E74B5" w:themeColor="accent1" w:themeShade="BF"/>
      <w:sz w:val="32"/>
      <w:szCs w:val="32"/>
      <w:lang w:eastAsia="nb-NO"/>
    </w:rPr>
  </w:style>
  <w:style w:type="character" w:customStyle="1" w:styleId="Overskrift2Tegn">
    <w:name w:val="Overskrift 2 Tegn"/>
    <w:basedOn w:val="Standardskriftforavsnitt"/>
    <w:link w:val="Overskrift2"/>
    <w:uiPriority w:val="9"/>
    <w:rsid w:val="00934EFA"/>
    <w:rPr>
      <w:rFonts w:asciiTheme="majorHAnsi" w:eastAsiaTheme="majorEastAsia" w:hAnsiTheme="majorHAnsi" w:cstheme="majorBidi"/>
      <w:color w:val="2E74B5" w:themeColor="accent1" w:themeShade="BF"/>
      <w:sz w:val="26"/>
      <w:szCs w:val="26"/>
      <w:lang w:eastAsia="nb-NO"/>
    </w:rPr>
  </w:style>
  <w:style w:type="character" w:customStyle="1" w:styleId="Overskrift3Tegn">
    <w:name w:val="Overskrift 3 Tegn"/>
    <w:basedOn w:val="Standardskriftforavsnitt"/>
    <w:link w:val="Overskrift3"/>
    <w:uiPriority w:val="9"/>
    <w:rsid w:val="00934EFA"/>
    <w:rPr>
      <w:rFonts w:asciiTheme="majorHAnsi" w:eastAsiaTheme="majorEastAsia" w:hAnsiTheme="majorHAnsi" w:cstheme="majorBidi"/>
      <w:color w:val="1F4D78" w:themeColor="accent1" w:themeShade="7F"/>
      <w:sz w:val="24"/>
      <w:szCs w:val="24"/>
      <w:lang w:eastAsia="nb-NO"/>
    </w:rPr>
  </w:style>
  <w:style w:type="paragraph" w:styleId="Listeavsnitt">
    <w:name w:val="List Paragraph"/>
    <w:basedOn w:val="Normal"/>
    <w:uiPriority w:val="34"/>
    <w:qFormat/>
    <w:rsid w:val="00934EFA"/>
    <w:pPr>
      <w:ind w:left="720"/>
    </w:pPr>
  </w:style>
  <w:style w:type="paragraph" w:styleId="Topptekst">
    <w:name w:val="header"/>
    <w:basedOn w:val="Normal"/>
    <w:link w:val="TopptekstTegn"/>
    <w:uiPriority w:val="99"/>
    <w:unhideWhenUsed/>
    <w:rsid w:val="00934EFA"/>
    <w:pPr>
      <w:tabs>
        <w:tab w:val="center" w:pos="4536"/>
        <w:tab w:val="right" w:pos="9072"/>
      </w:tabs>
    </w:pPr>
  </w:style>
  <w:style w:type="character" w:customStyle="1" w:styleId="TopptekstTegn">
    <w:name w:val="Topptekst Tegn"/>
    <w:basedOn w:val="Standardskriftforavsnitt"/>
    <w:link w:val="Topptekst"/>
    <w:uiPriority w:val="99"/>
    <w:rsid w:val="00934EFA"/>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934EFA"/>
    <w:pPr>
      <w:tabs>
        <w:tab w:val="center" w:pos="4536"/>
        <w:tab w:val="right" w:pos="9072"/>
      </w:tabs>
    </w:pPr>
  </w:style>
  <w:style w:type="character" w:customStyle="1" w:styleId="BunntekstTegn">
    <w:name w:val="Bunntekst Tegn"/>
    <w:basedOn w:val="Standardskriftforavsnitt"/>
    <w:link w:val="Bunntekst"/>
    <w:uiPriority w:val="99"/>
    <w:rsid w:val="00934EFA"/>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934EFA"/>
    <w:rPr>
      <w:color w:val="0000FF"/>
      <w:u w:val="single"/>
    </w:rPr>
  </w:style>
  <w:style w:type="paragraph" w:styleId="Bildetekst">
    <w:name w:val="caption"/>
    <w:basedOn w:val="Normal"/>
    <w:next w:val="Normal"/>
    <w:uiPriority w:val="35"/>
    <w:semiHidden/>
    <w:unhideWhenUsed/>
    <w:qFormat/>
    <w:rsid w:val="00934EFA"/>
    <w:pPr>
      <w:spacing w:after="200"/>
    </w:pPr>
    <w:rPr>
      <w:rFonts w:asciiTheme="minorHAnsi" w:hAnsiTheme="minorHAnsi" w:cstheme="minorBidi"/>
      <w:i/>
      <w:iCs/>
      <w:color w:val="44546A" w:themeColor="text2"/>
      <w:sz w:val="18"/>
      <w:szCs w:val="18"/>
      <w:lang w:val="it-IT" w:eastAsia="en-US"/>
    </w:rPr>
  </w:style>
  <w:style w:type="table" w:styleId="Tabellrutenett">
    <w:name w:val="Table Grid"/>
    <w:basedOn w:val="Vanligtabell"/>
    <w:uiPriority w:val="39"/>
    <w:rsid w:val="00934EF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4EFA"/>
    <w:pPr>
      <w:spacing w:before="100" w:beforeAutospacing="1" w:after="100" w:afterAutospacing="1"/>
    </w:pPr>
    <w:rPr>
      <w:rFonts w:eastAsia="Times New Roman"/>
      <w:lang w:val="it-IT" w:eastAsia="it-IT"/>
    </w:rPr>
  </w:style>
  <w:style w:type="paragraph" w:customStyle="1" w:styleId="EndNoteBibliographyTitle">
    <w:name w:val="EndNote Bibliography Title"/>
    <w:basedOn w:val="Normal"/>
    <w:link w:val="EndNoteBibliographyTitleTegn"/>
    <w:rsid w:val="00934EFA"/>
    <w:pPr>
      <w:jc w:val="center"/>
    </w:pPr>
    <w:rPr>
      <w:noProof/>
    </w:rPr>
  </w:style>
  <w:style w:type="character" w:customStyle="1" w:styleId="EndNoteBibliographyTitleTegn">
    <w:name w:val="EndNote Bibliography Title Tegn"/>
    <w:basedOn w:val="Standardskriftforavsnitt"/>
    <w:link w:val="EndNoteBibliographyTitle"/>
    <w:rsid w:val="00934EFA"/>
    <w:rPr>
      <w:rFonts w:ascii="Times New Roman" w:hAnsi="Times New Roman" w:cs="Times New Roman"/>
      <w:noProof/>
      <w:sz w:val="24"/>
      <w:szCs w:val="24"/>
      <w:lang w:eastAsia="nb-NO"/>
    </w:rPr>
  </w:style>
  <w:style w:type="paragraph" w:customStyle="1" w:styleId="EndNoteBibliography">
    <w:name w:val="EndNote Bibliography"/>
    <w:basedOn w:val="Normal"/>
    <w:link w:val="EndNoteBibliographyTegn"/>
    <w:rsid w:val="00934EFA"/>
    <w:rPr>
      <w:noProof/>
    </w:rPr>
  </w:style>
  <w:style w:type="character" w:customStyle="1" w:styleId="EndNoteBibliographyTegn">
    <w:name w:val="EndNote Bibliography Tegn"/>
    <w:basedOn w:val="Standardskriftforavsnitt"/>
    <w:link w:val="EndNoteBibliography"/>
    <w:rsid w:val="00934EFA"/>
    <w:rPr>
      <w:rFonts w:ascii="Times New Roman" w:hAnsi="Times New Roman" w:cs="Times New Roman"/>
      <w:noProof/>
      <w:sz w:val="24"/>
      <w:szCs w:val="24"/>
      <w:lang w:eastAsia="nb-NO"/>
    </w:rPr>
  </w:style>
  <w:style w:type="paragraph" w:styleId="Rentekst">
    <w:name w:val="Plain Text"/>
    <w:basedOn w:val="Normal"/>
    <w:link w:val="RentekstTegn"/>
    <w:uiPriority w:val="99"/>
    <w:unhideWhenUsed/>
    <w:rsid w:val="00934EFA"/>
    <w:rPr>
      <w:rFonts w:ascii="Calibri" w:hAnsi="Calibri" w:cstheme="minorBidi"/>
      <w:sz w:val="22"/>
      <w:szCs w:val="21"/>
      <w:lang w:eastAsia="en-US"/>
    </w:rPr>
  </w:style>
  <w:style w:type="character" w:customStyle="1" w:styleId="RentekstTegn">
    <w:name w:val="Ren tekst Tegn"/>
    <w:basedOn w:val="Standardskriftforavsnitt"/>
    <w:link w:val="Rentekst"/>
    <w:uiPriority w:val="99"/>
    <w:rsid w:val="00934EFA"/>
    <w:rPr>
      <w:rFonts w:ascii="Calibri" w:hAnsi="Calibri"/>
      <w:szCs w:val="21"/>
    </w:rPr>
  </w:style>
  <w:style w:type="character" w:styleId="Merknadsreferanse">
    <w:name w:val="annotation reference"/>
    <w:basedOn w:val="Standardskriftforavsnitt"/>
    <w:uiPriority w:val="99"/>
    <w:semiHidden/>
    <w:unhideWhenUsed/>
    <w:rsid w:val="00934EFA"/>
    <w:rPr>
      <w:sz w:val="16"/>
      <w:szCs w:val="16"/>
    </w:rPr>
  </w:style>
  <w:style w:type="paragraph" w:styleId="Merknadstekst">
    <w:name w:val="annotation text"/>
    <w:basedOn w:val="Normal"/>
    <w:link w:val="MerknadstekstTegn"/>
    <w:uiPriority w:val="99"/>
    <w:semiHidden/>
    <w:unhideWhenUsed/>
    <w:rsid w:val="00934EFA"/>
    <w:rPr>
      <w:sz w:val="20"/>
      <w:szCs w:val="20"/>
    </w:rPr>
  </w:style>
  <w:style w:type="character" w:customStyle="1" w:styleId="MerknadstekstTegn">
    <w:name w:val="Merknadstekst Tegn"/>
    <w:basedOn w:val="Standardskriftforavsnitt"/>
    <w:link w:val="Merknadstekst"/>
    <w:uiPriority w:val="99"/>
    <w:semiHidden/>
    <w:rsid w:val="00934EFA"/>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934EFA"/>
    <w:rPr>
      <w:b/>
      <w:bCs/>
    </w:rPr>
  </w:style>
  <w:style w:type="character" w:customStyle="1" w:styleId="KommentaremneTegn">
    <w:name w:val="Kommentaremne Tegn"/>
    <w:basedOn w:val="MerknadstekstTegn"/>
    <w:link w:val="Kommentaremne"/>
    <w:uiPriority w:val="99"/>
    <w:semiHidden/>
    <w:rsid w:val="00934EFA"/>
    <w:rPr>
      <w:rFonts w:ascii="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934EF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4EFA"/>
    <w:rPr>
      <w:rFonts w:ascii="Segoe UI" w:hAnsi="Segoe UI" w:cs="Segoe UI"/>
      <w:sz w:val="18"/>
      <w:szCs w:val="18"/>
      <w:lang w:eastAsia="nb-NO"/>
    </w:rPr>
  </w:style>
  <w:style w:type="paragraph" w:styleId="Fotnotetekst">
    <w:name w:val="footnote text"/>
    <w:basedOn w:val="Normal"/>
    <w:link w:val="FotnotetekstTegn"/>
    <w:uiPriority w:val="99"/>
    <w:semiHidden/>
    <w:unhideWhenUsed/>
    <w:rsid w:val="00934EFA"/>
    <w:rPr>
      <w:sz w:val="20"/>
      <w:szCs w:val="20"/>
    </w:rPr>
  </w:style>
  <w:style w:type="character" w:customStyle="1" w:styleId="FotnotetekstTegn">
    <w:name w:val="Fotnotetekst Tegn"/>
    <w:basedOn w:val="Standardskriftforavsnitt"/>
    <w:link w:val="Fotnotetekst"/>
    <w:uiPriority w:val="99"/>
    <w:semiHidden/>
    <w:rsid w:val="00934EFA"/>
    <w:rPr>
      <w:rFonts w:ascii="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934EFA"/>
    <w:rPr>
      <w:vertAlign w:val="superscript"/>
    </w:rPr>
  </w:style>
  <w:style w:type="paragraph" w:customStyle="1" w:styleId="Default">
    <w:name w:val="Default"/>
    <w:rsid w:val="00CA5AF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kolonial.no/" TargetMode="External"/><Relationship Id="rId18" Type="http://schemas.openxmlformats.org/officeDocument/2006/relationships/hyperlink" Target="https://www.naturbit.no/" TargetMode="External"/><Relationship Id="rId26" Type="http://schemas.openxmlformats.org/officeDocument/2006/relationships/hyperlink" Target="https://www.holdbart.no/" TargetMode="External"/><Relationship Id="rId3" Type="http://schemas.openxmlformats.org/officeDocument/2006/relationships/styles" Target="styles.xml"/><Relationship Id="rId21" Type="http://schemas.openxmlformats.org/officeDocument/2006/relationships/hyperlink" Target="https://proviant.no/"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fiskebilen.no/" TargetMode="External"/><Relationship Id="rId25" Type="http://schemas.openxmlformats.org/officeDocument/2006/relationships/hyperlink" Target="https://toogoodtogo.no/n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pekehuset.no/" TargetMode="External"/><Relationship Id="rId20" Type="http://schemas.openxmlformats.org/officeDocument/2006/relationships/hyperlink" Target="https://www.nettmat.no/" TargetMode="External"/><Relationship Id="rId29" Type="http://schemas.openxmlformats.org/officeDocument/2006/relationships/hyperlink" Target="https://dagligvarehandelen.no/sites/handelsbladet.no/files/dagligvarefasiten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ol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grosnett.no/nettbutikk" TargetMode="External"/><Relationship Id="rId23" Type="http://schemas.openxmlformats.org/officeDocument/2006/relationships/hyperlink" Target="https://www.just-eat.no/" TargetMode="External"/><Relationship Id="rId28" Type="http://schemas.openxmlformats.org/officeDocument/2006/relationships/hyperlink" Target="https://coop.no/globalassets/om-coop/arsmeldinger/2017/coop_arsrapport_2017_dobbeltsider_web.pdf" TargetMode="External"/><Relationship Id="rId10" Type="http://schemas.openxmlformats.org/officeDocument/2006/relationships/diagramQuickStyle" Target="diagrams/quickStyle1.xml"/><Relationship Id="rId19" Type="http://schemas.openxmlformats.org/officeDocument/2006/relationships/hyperlink" Target="https://godtlevert.no/matkas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retthjem.no/" TargetMode="External"/><Relationship Id="rId22" Type="http://schemas.openxmlformats.org/officeDocument/2006/relationships/hyperlink" Target="https://www.foodora.no/" TargetMode="External"/><Relationship Id="rId27" Type="http://schemas.openxmlformats.org/officeDocument/2006/relationships/hyperlink" Target="https://no.matsmart.com/seeyoulate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CA5A0C-030A-4265-81BB-C7093E72FB86}" type="doc">
      <dgm:prSet loTypeId="urn:microsoft.com/office/officeart/2005/8/layout/orgChart1" loCatId="hierarchy" qsTypeId="urn:microsoft.com/office/officeart/2005/8/quickstyle/simple1" qsCatId="simple" csTypeId="urn:microsoft.com/office/officeart/2005/8/colors/accent6_5" csCatId="accent6" phldr="1"/>
      <dgm:spPr/>
      <dgm:t>
        <a:bodyPr/>
        <a:lstStyle/>
        <a:p>
          <a:endParaRPr lang="nb-NO"/>
        </a:p>
      </dgm:t>
    </dgm:pt>
    <dgm:pt modelId="{1ED85BB8-0066-4F25-B9BB-2A2154DE6E89}">
      <dgm:prSet phldrT="[Tekst]" custT="1"/>
      <dgm:spPr>
        <a:solidFill>
          <a:schemeClr val="accent6">
            <a:lumMod val="60000"/>
            <a:lumOff val="40000"/>
            <a:alpha val="80000"/>
          </a:schemeClr>
        </a:solidFill>
      </dgm:spPr>
      <dgm:t>
        <a:bodyPr/>
        <a:lstStyle/>
        <a:p>
          <a:r>
            <a:rPr lang="nb-NO" sz="1500">
              <a:latin typeface="+mj-lt"/>
              <a:cs typeface="Times New Roman" panose="02020603050405020304" pitchFamily="18" charset="0"/>
            </a:rPr>
            <a:t>Retail groups</a:t>
          </a:r>
        </a:p>
        <a:p>
          <a:r>
            <a:rPr lang="nb-NO" sz="1500">
              <a:latin typeface="+mj-lt"/>
              <a:cs typeface="Times New Roman" panose="02020603050405020304" pitchFamily="18" charset="0"/>
            </a:rPr>
            <a:t>(mainly </a:t>
          </a:r>
          <a:r>
            <a:rPr lang="nb-NO" sz="1500" i="1">
              <a:latin typeface="+mj-lt"/>
              <a:cs typeface="Times New Roman" panose="02020603050405020304" pitchFamily="18" charset="0"/>
            </a:rPr>
            <a:t>Rema</a:t>
          </a:r>
          <a:r>
            <a:rPr lang="nb-NO" sz="1500">
              <a:latin typeface="+mj-lt"/>
              <a:cs typeface="Times New Roman" panose="02020603050405020304" pitchFamily="18" charset="0"/>
            </a:rPr>
            <a:t>, </a:t>
          </a:r>
          <a:r>
            <a:rPr lang="nb-NO" sz="1500" i="1">
              <a:latin typeface="+mj-lt"/>
              <a:cs typeface="Times New Roman" panose="02020603050405020304" pitchFamily="18" charset="0"/>
            </a:rPr>
            <a:t>Coop</a:t>
          </a:r>
          <a:r>
            <a:rPr lang="nb-NO" sz="1500">
              <a:latin typeface="+mj-lt"/>
              <a:cs typeface="Times New Roman" panose="02020603050405020304" pitchFamily="18" charset="0"/>
            </a:rPr>
            <a:t>, </a:t>
          </a:r>
          <a:r>
            <a:rPr lang="nb-NO" sz="1500" i="1">
              <a:latin typeface="+mj-lt"/>
              <a:cs typeface="Times New Roman" panose="02020603050405020304" pitchFamily="18" charset="0"/>
            </a:rPr>
            <a:t>NorgesGruppen</a:t>
          </a:r>
          <a:r>
            <a:rPr lang="nb-NO" sz="1500">
              <a:latin typeface="+mj-lt"/>
              <a:cs typeface="Times New Roman" panose="02020603050405020304" pitchFamily="18" charset="0"/>
            </a:rPr>
            <a:t>)</a:t>
          </a:r>
        </a:p>
      </dgm:t>
    </dgm:pt>
    <dgm:pt modelId="{04F00488-3AE7-4C9F-B96B-D60FA3359834}" type="parTrans" cxnId="{F1E9CD3C-DBA2-4A15-8916-D198E65F3870}">
      <dgm:prSet/>
      <dgm:spPr/>
      <dgm:t>
        <a:bodyPr/>
        <a:lstStyle/>
        <a:p>
          <a:endParaRPr lang="nb-NO"/>
        </a:p>
      </dgm:t>
    </dgm:pt>
    <dgm:pt modelId="{1961A361-D02C-45AC-9C6F-FD01BC673C6F}" type="sibTrans" cxnId="{F1E9CD3C-DBA2-4A15-8916-D198E65F3870}">
      <dgm:prSet/>
      <dgm:spPr/>
      <dgm:t>
        <a:bodyPr/>
        <a:lstStyle/>
        <a:p>
          <a:endParaRPr lang="nb-NO"/>
        </a:p>
      </dgm:t>
    </dgm:pt>
    <dgm:pt modelId="{6D952E2A-B34E-4D0B-8B8D-503642EA82BE}">
      <dgm:prSet phldrT="[Tekst]" custT="1"/>
      <dgm:spPr/>
      <dgm:t>
        <a:bodyPr/>
        <a:lstStyle/>
        <a:p>
          <a:r>
            <a:rPr lang="nb-NO" sz="1500"/>
            <a:t>Production &amp; processing</a:t>
          </a:r>
        </a:p>
      </dgm:t>
    </dgm:pt>
    <dgm:pt modelId="{0373A836-AC72-489F-A9C5-BCC4986015C6}" type="parTrans" cxnId="{14735735-46DB-451F-8743-A93CC2C8A477}">
      <dgm:prSet/>
      <dgm:spPr/>
      <dgm:t>
        <a:bodyPr/>
        <a:lstStyle/>
        <a:p>
          <a:endParaRPr lang="nb-NO"/>
        </a:p>
      </dgm:t>
    </dgm:pt>
    <dgm:pt modelId="{26EB1B61-B73F-4455-A9C0-955CB7C7033E}" type="sibTrans" cxnId="{14735735-46DB-451F-8743-A93CC2C8A477}">
      <dgm:prSet/>
      <dgm:spPr/>
      <dgm:t>
        <a:bodyPr/>
        <a:lstStyle/>
        <a:p>
          <a:endParaRPr lang="nb-NO"/>
        </a:p>
      </dgm:t>
    </dgm:pt>
    <dgm:pt modelId="{C4ABFE56-9B19-4A85-8C34-645273A8C0AD}">
      <dgm:prSet phldrT="[Tekst]" custT="1"/>
      <dgm:spPr/>
      <dgm:t>
        <a:bodyPr/>
        <a:lstStyle/>
        <a:p>
          <a:r>
            <a:rPr lang="nb-NO" sz="1500"/>
            <a:t>Wholesale</a:t>
          </a:r>
        </a:p>
      </dgm:t>
    </dgm:pt>
    <dgm:pt modelId="{419660F2-E73D-4FBE-A255-A954411B7A45}" type="parTrans" cxnId="{F13BE5DD-579D-4EB5-B1CD-6842E0F7142F}">
      <dgm:prSet/>
      <dgm:spPr/>
      <dgm:t>
        <a:bodyPr/>
        <a:lstStyle/>
        <a:p>
          <a:endParaRPr lang="nb-NO"/>
        </a:p>
      </dgm:t>
    </dgm:pt>
    <dgm:pt modelId="{B49FBFAB-F187-43F9-8CD8-04D303511798}" type="sibTrans" cxnId="{F13BE5DD-579D-4EB5-B1CD-6842E0F7142F}">
      <dgm:prSet/>
      <dgm:spPr/>
      <dgm:t>
        <a:bodyPr/>
        <a:lstStyle/>
        <a:p>
          <a:endParaRPr lang="nb-NO"/>
        </a:p>
      </dgm:t>
    </dgm:pt>
    <dgm:pt modelId="{2712A280-E564-4C77-A0AC-1178F654DEA1}">
      <dgm:prSet phldrT="[Tekst]" custT="1"/>
      <dgm:spPr/>
      <dgm:t>
        <a:bodyPr/>
        <a:lstStyle/>
        <a:p>
          <a:r>
            <a:rPr lang="nb-NO" sz="1500"/>
            <a:t>Retail chains (stores)</a:t>
          </a:r>
        </a:p>
      </dgm:t>
    </dgm:pt>
    <dgm:pt modelId="{738F195A-A468-457F-91D5-6FA6E24E15B4}" type="sibTrans" cxnId="{618F6584-9221-4BA5-85AB-1EB896A36733}">
      <dgm:prSet/>
      <dgm:spPr/>
      <dgm:t>
        <a:bodyPr/>
        <a:lstStyle/>
        <a:p>
          <a:endParaRPr lang="nb-NO"/>
        </a:p>
      </dgm:t>
    </dgm:pt>
    <dgm:pt modelId="{17CA6AF9-429B-4E07-9AAE-738E30A0575D}" type="parTrans" cxnId="{618F6584-9221-4BA5-85AB-1EB896A36733}">
      <dgm:prSet/>
      <dgm:spPr/>
      <dgm:t>
        <a:bodyPr/>
        <a:lstStyle/>
        <a:p>
          <a:endParaRPr lang="nb-NO"/>
        </a:p>
      </dgm:t>
    </dgm:pt>
    <dgm:pt modelId="{1BF5387B-792B-4471-8A75-69A5ECB96EFD}" type="pres">
      <dgm:prSet presAssocID="{46CA5A0C-030A-4265-81BB-C7093E72FB86}" presName="hierChild1" presStyleCnt="0">
        <dgm:presLayoutVars>
          <dgm:orgChart val="1"/>
          <dgm:chPref val="1"/>
          <dgm:dir/>
          <dgm:animOne val="branch"/>
          <dgm:animLvl val="lvl"/>
          <dgm:resizeHandles/>
        </dgm:presLayoutVars>
      </dgm:prSet>
      <dgm:spPr/>
      <dgm:t>
        <a:bodyPr/>
        <a:lstStyle/>
        <a:p>
          <a:endParaRPr lang="nb-NO"/>
        </a:p>
      </dgm:t>
    </dgm:pt>
    <dgm:pt modelId="{145FE482-C534-4013-A8D2-B0F02DBAC226}" type="pres">
      <dgm:prSet presAssocID="{1ED85BB8-0066-4F25-B9BB-2A2154DE6E89}" presName="hierRoot1" presStyleCnt="0">
        <dgm:presLayoutVars>
          <dgm:hierBranch val="init"/>
        </dgm:presLayoutVars>
      </dgm:prSet>
      <dgm:spPr/>
    </dgm:pt>
    <dgm:pt modelId="{AE77CD1C-EEBA-4F81-AB86-9890EF57FC23}" type="pres">
      <dgm:prSet presAssocID="{1ED85BB8-0066-4F25-B9BB-2A2154DE6E89}" presName="rootComposite1" presStyleCnt="0"/>
      <dgm:spPr/>
    </dgm:pt>
    <dgm:pt modelId="{5E10D513-E0BD-4915-A68F-5E92496A0348}" type="pres">
      <dgm:prSet presAssocID="{1ED85BB8-0066-4F25-B9BB-2A2154DE6E89}" presName="rootText1" presStyleLbl="node0" presStyleIdx="0" presStyleCnt="1" custScaleX="342046">
        <dgm:presLayoutVars>
          <dgm:chPref val="3"/>
        </dgm:presLayoutVars>
      </dgm:prSet>
      <dgm:spPr>
        <a:prstGeom prst="roundRect">
          <a:avLst/>
        </a:prstGeom>
      </dgm:spPr>
      <dgm:t>
        <a:bodyPr/>
        <a:lstStyle/>
        <a:p>
          <a:endParaRPr lang="nb-NO"/>
        </a:p>
      </dgm:t>
    </dgm:pt>
    <dgm:pt modelId="{0DB8BD71-FB35-4C85-83A9-E68CCE891FDB}" type="pres">
      <dgm:prSet presAssocID="{1ED85BB8-0066-4F25-B9BB-2A2154DE6E89}" presName="rootConnector1" presStyleLbl="node1" presStyleIdx="0" presStyleCnt="0"/>
      <dgm:spPr/>
      <dgm:t>
        <a:bodyPr/>
        <a:lstStyle/>
        <a:p>
          <a:endParaRPr lang="nb-NO"/>
        </a:p>
      </dgm:t>
    </dgm:pt>
    <dgm:pt modelId="{43B5F476-5D18-46E9-AFB5-FB69A094521B}" type="pres">
      <dgm:prSet presAssocID="{1ED85BB8-0066-4F25-B9BB-2A2154DE6E89}" presName="hierChild2" presStyleCnt="0"/>
      <dgm:spPr/>
    </dgm:pt>
    <dgm:pt modelId="{66479346-08E2-49EA-882E-3F605A5C89D6}" type="pres">
      <dgm:prSet presAssocID="{0373A836-AC72-489F-A9C5-BCC4986015C6}" presName="Name37" presStyleLbl="parChTrans1D2" presStyleIdx="0" presStyleCnt="3"/>
      <dgm:spPr/>
      <dgm:t>
        <a:bodyPr/>
        <a:lstStyle/>
        <a:p>
          <a:endParaRPr lang="nb-NO"/>
        </a:p>
      </dgm:t>
    </dgm:pt>
    <dgm:pt modelId="{388886A8-688E-4DB8-8716-2858F7064FDD}" type="pres">
      <dgm:prSet presAssocID="{6D952E2A-B34E-4D0B-8B8D-503642EA82BE}" presName="hierRoot2" presStyleCnt="0">
        <dgm:presLayoutVars>
          <dgm:hierBranch val="init"/>
        </dgm:presLayoutVars>
      </dgm:prSet>
      <dgm:spPr/>
    </dgm:pt>
    <dgm:pt modelId="{750F675F-8073-4A19-8140-930A111276FD}" type="pres">
      <dgm:prSet presAssocID="{6D952E2A-B34E-4D0B-8B8D-503642EA82BE}" presName="rootComposite" presStyleCnt="0"/>
      <dgm:spPr/>
    </dgm:pt>
    <dgm:pt modelId="{2A173863-9402-4793-9B73-C8BC19EE7A59}" type="pres">
      <dgm:prSet presAssocID="{6D952E2A-B34E-4D0B-8B8D-503642EA82BE}" presName="rootText" presStyleLbl="node2" presStyleIdx="0" presStyleCnt="3">
        <dgm:presLayoutVars>
          <dgm:chPref val="3"/>
        </dgm:presLayoutVars>
      </dgm:prSet>
      <dgm:spPr>
        <a:prstGeom prst="roundRect">
          <a:avLst/>
        </a:prstGeom>
      </dgm:spPr>
      <dgm:t>
        <a:bodyPr/>
        <a:lstStyle/>
        <a:p>
          <a:endParaRPr lang="nb-NO"/>
        </a:p>
      </dgm:t>
    </dgm:pt>
    <dgm:pt modelId="{1979C7F5-29FA-4D7C-939A-CB3DB4C7CA61}" type="pres">
      <dgm:prSet presAssocID="{6D952E2A-B34E-4D0B-8B8D-503642EA82BE}" presName="rootConnector" presStyleLbl="node2" presStyleIdx="0" presStyleCnt="3"/>
      <dgm:spPr/>
      <dgm:t>
        <a:bodyPr/>
        <a:lstStyle/>
        <a:p>
          <a:endParaRPr lang="nb-NO"/>
        </a:p>
      </dgm:t>
    </dgm:pt>
    <dgm:pt modelId="{DCBC6EF7-882A-4C38-A6E1-6AFE1FDC289F}" type="pres">
      <dgm:prSet presAssocID="{6D952E2A-B34E-4D0B-8B8D-503642EA82BE}" presName="hierChild4" presStyleCnt="0"/>
      <dgm:spPr/>
    </dgm:pt>
    <dgm:pt modelId="{35592364-745A-4815-BD4E-0F31DD2D7812}" type="pres">
      <dgm:prSet presAssocID="{6D952E2A-B34E-4D0B-8B8D-503642EA82BE}" presName="hierChild5" presStyleCnt="0"/>
      <dgm:spPr/>
    </dgm:pt>
    <dgm:pt modelId="{636B9279-0741-4FB2-BE28-DF32AE5D84A8}" type="pres">
      <dgm:prSet presAssocID="{419660F2-E73D-4FBE-A255-A954411B7A45}" presName="Name37" presStyleLbl="parChTrans1D2" presStyleIdx="1" presStyleCnt="3"/>
      <dgm:spPr/>
      <dgm:t>
        <a:bodyPr/>
        <a:lstStyle/>
        <a:p>
          <a:endParaRPr lang="nb-NO"/>
        </a:p>
      </dgm:t>
    </dgm:pt>
    <dgm:pt modelId="{80F22BD1-3927-4D27-896D-0C63683B58C1}" type="pres">
      <dgm:prSet presAssocID="{C4ABFE56-9B19-4A85-8C34-645273A8C0AD}" presName="hierRoot2" presStyleCnt="0">
        <dgm:presLayoutVars>
          <dgm:hierBranch val="init"/>
        </dgm:presLayoutVars>
      </dgm:prSet>
      <dgm:spPr/>
    </dgm:pt>
    <dgm:pt modelId="{9D604B5E-EFB2-495E-B919-6CE9078E8FB7}" type="pres">
      <dgm:prSet presAssocID="{C4ABFE56-9B19-4A85-8C34-645273A8C0AD}" presName="rootComposite" presStyleCnt="0"/>
      <dgm:spPr/>
    </dgm:pt>
    <dgm:pt modelId="{6D68E4B5-7EBB-4992-AD69-9C532A0DEF72}" type="pres">
      <dgm:prSet presAssocID="{C4ABFE56-9B19-4A85-8C34-645273A8C0AD}" presName="rootText" presStyleLbl="node2" presStyleIdx="1" presStyleCnt="3">
        <dgm:presLayoutVars>
          <dgm:chPref val="3"/>
        </dgm:presLayoutVars>
      </dgm:prSet>
      <dgm:spPr>
        <a:prstGeom prst="roundRect">
          <a:avLst/>
        </a:prstGeom>
      </dgm:spPr>
      <dgm:t>
        <a:bodyPr/>
        <a:lstStyle/>
        <a:p>
          <a:endParaRPr lang="nb-NO"/>
        </a:p>
      </dgm:t>
    </dgm:pt>
    <dgm:pt modelId="{CE6CB5CC-909F-4C19-A6C9-24B551C58341}" type="pres">
      <dgm:prSet presAssocID="{C4ABFE56-9B19-4A85-8C34-645273A8C0AD}" presName="rootConnector" presStyleLbl="node2" presStyleIdx="1" presStyleCnt="3"/>
      <dgm:spPr/>
      <dgm:t>
        <a:bodyPr/>
        <a:lstStyle/>
        <a:p>
          <a:endParaRPr lang="nb-NO"/>
        </a:p>
      </dgm:t>
    </dgm:pt>
    <dgm:pt modelId="{2AE13454-7C38-4BBA-BE68-28AADEF04E97}" type="pres">
      <dgm:prSet presAssocID="{C4ABFE56-9B19-4A85-8C34-645273A8C0AD}" presName="hierChild4" presStyleCnt="0"/>
      <dgm:spPr/>
    </dgm:pt>
    <dgm:pt modelId="{2C81A7C2-2ECB-4C8A-9C96-5C5932076E07}" type="pres">
      <dgm:prSet presAssocID="{C4ABFE56-9B19-4A85-8C34-645273A8C0AD}" presName="hierChild5" presStyleCnt="0"/>
      <dgm:spPr/>
    </dgm:pt>
    <dgm:pt modelId="{15019CA5-84B8-4233-81F1-D2A3D8C64AA9}" type="pres">
      <dgm:prSet presAssocID="{17CA6AF9-429B-4E07-9AAE-738E30A0575D}" presName="Name37" presStyleLbl="parChTrans1D2" presStyleIdx="2" presStyleCnt="3"/>
      <dgm:spPr/>
      <dgm:t>
        <a:bodyPr/>
        <a:lstStyle/>
        <a:p>
          <a:endParaRPr lang="nb-NO"/>
        </a:p>
      </dgm:t>
    </dgm:pt>
    <dgm:pt modelId="{0D1C91AF-6B17-4A2F-BF71-6BA92F52D0B8}" type="pres">
      <dgm:prSet presAssocID="{2712A280-E564-4C77-A0AC-1178F654DEA1}" presName="hierRoot2" presStyleCnt="0">
        <dgm:presLayoutVars>
          <dgm:hierBranch val="init"/>
        </dgm:presLayoutVars>
      </dgm:prSet>
      <dgm:spPr/>
    </dgm:pt>
    <dgm:pt modelId="{9B8FC96E-932E-47CF-93E6-043D9CCADB3D}" type="pres">
      <dgm:prSet presAssocID="{2712A280-E564-4C77-A0AC-1178F654DEA1}" presName="rootComposite" presStyleCnt="0"/>
      <dgm:spPr/>
    </dgm:pt>
    <dgm:pt modelId="{6DF74D5B-169A-40C0-872C-D26EAEE6988A}" type="pres">
      <dgm:prSet presAssocID="{2712A280-E564-4C77-A0AC-1178F654DEA1}" presName="rootText" presStyleLbl="node2" presStyleIdx="2" presStyleCnt="3">
        <dgm:presLayoutVars>
          <dgm:chPref val="3"/>
        </dgm:presLayoutVars>
      </dgm:prSet>
      <dgm:spPr>
        <a:prstGeom prst="roundRect">
          <a:avLst/>
        </a:prstGeom>
      </dgm:spPr>
      <dgm:t>
        <a:bodyPr/>
        <a:lstStyle/>
        <a:p>
          <a:endParaRPr lang="nb-NO"/>
        </a:p>
      </dgm:t>
    </dgm:pt>
    <dgm:pt modelId="{FB7D043D-5C30-40B2-8CC7-DAC14855C507}" type="pres">
      <dgm:prSet presAssocID="{2712A280-E564-4C77-A0AC-1178F654DEA1}" presName="rootConnector" presStyleLbl="node2" presStyleIdx="2" presStyleCnt="3"/>
      <dgm:spPr/>
      <dgm:t>
        <a:bodyPr/>
        <a:lstStyle/>
        <a:p>
          <a:endParaRPr lang="nb-NO"/>
        </a:p>
      </dgm:t>
    </dgm:pt>
    <dgm:pt modelId="{6E2703D2-56ED-4DEE-8DBB-D7C11605D490}" type="pres">
      <dgm:prSet presAssocID="{2712A280-E564-4C77-A0AC-1178F654DEA1}" presName="hierChild4" presStyleCnt="0"/>
      <dgm:spPr/>
    </dgm:pt>
    <dgm:pt modelId="{EB699AA0-0DFB-4D68-A29E-0C1D40A6C9EC}" type="pres">
      <dgm:prSet presAssocID="{2712A280-E564-4C77-A0AC-1178F654DEA1}" presName="hierChild5" presStyleCnt="0"/>
      <dgm:spPr/>
    </dgm:pt>
    <dgm:pt modelId="{56661B25-F1D3-41C8-B7D6-6D65F5C3CF6B}" type="pres">
      <dgm:prSet presAssocID="{1ED85BB8-0066-4F25-B9BB-2A2154DE6E89}" presName="hierChild3" presStyleCnt="0"/>
      <dgm:spPr/>
    </dgm:pt>
  </dgm:ptLst>
  <dgm:cxnLst>
    <dgm:cxn modelId="{F13BE5DD-579D-4EB5-B1CD-6842E0F7142F}" srcId="{1ED85BB8-0066-4F25-B9BB-2A2154DE6E89}" destId="{C4ABFE56-9B19-4A85-8C34-645273A8C0AD}" srcOrd="1" destOrd="0" parTransId="{419660F2-E73D-4FBE-A255-A954411B7A45}" sibTransId="{B49FBFAB-F187-43F9-8CD8-04D303511798}"/>
    <dgm:cxn modelId="{618F6584-9221-4BA5-85AB-1EB896A36733}" srcId="{1ED85BB8-0066-4F25-B9BB-2A2154DE6E89}" destId="{2712A280-E564-4C77-A0AC-1178F654DEA1}" srcOrd="2" destOrd="0" parTransId="{17CA6AF9-429B-4E07-9AAE-738E30A0575D}" sibTransId="{738F195A-A468-457F-91D5-6FA6E24E15B4}"/>
    <dgm:cxn modelId="{78FE2936-0A17-497A-B9E2-35C2FDA5D22C}" type="presOf" srcId="{1ED85BB8-0066-4F25-B9BB-2A2154DE6E89}" destId="{0DB8BD71-FB35-4C85-83A9-E68CCE891FDB}" srcOrd="1" destOrd="0" presId="urn:microsoft.com/office/officeart/2005/8/layout/orgChart1"/>
    <dgm:cxn modelId="{7E85EC87-8298-44C7-A688-4EFF4BA6BB0F}" type="presOf" srcId="{46CA5A0C-030A-4265-81BB-C7093E72FB86}" destId="{1BF5387B-792B-4471-8A75-69A5ECB96EFD}" srcOrd="0" destOrd="0" presId="urn:microsoft.com/office/officeart/2005/8/layout/orgChart1"/>
    <dgm:cxn modelId="{918D4A14-6A11-4985-8B51-07154744B73A}" type="presOf" srcId="{1ED85BB8-0066-4F25-B9BB-2A2154DE6E89}" destId="{5E10D513-E0BD-4915-A68F-5E92496A0348}" srcOrd="0" destOrd="0" presId="urn:microsoft.com/office/officeart/2005/8/layout/orgChart1"/>
    <dgm:cxn modelId="{24495A6D-3451-4A6C-95D1-D475073639A3}" type="presOf" srcId="{C4ABFE56-9B19-4A85-8C34-645273A8C0AD}" destId="{6D68E4B5-7EBB-4992-AD69-9C532A0DEF72}" srcOrd="0" destOrd="0" presId="urn:microsoft.com/office/officeart/2005/8/layout/orgChart1"/>
    <dgm:cxn modelId="{14735735-46DB-451F-8743-A93CC2C8A477}" srcId="{1ED85BB8-0066-4F25-B9BB-2A2154DE6E89}" destId="{6D952E2A-B34E-4D0B-8B8D-503642EA82BE}" srcOrd="0" destOrd="0" parTransId="{0373A836-AC72-489F-A9C5-BCC4986015C6}" sibTransId="{26EB1B61-B73F-4455-A9C0-955CB7C7033E}"/>
    <dgm:cxn modelId="{5DDC7EDA-5704-464C-BD99-CA6D45C81C3F}" type="presOf" srcId="{0373A836-AC72-489F-A9C5-BCC4986015C6}" destId="{66479346-08E2-49EA-882E-3F605A5C89D6}" srcOrd="0" destOrd="0" presId="urn:microsoft.com/office/officeart/2005/8/layout/orgChart1"/>
    <dgm:cxn modelId="{F1E9CD3C-DBA2-4A15-8916-D198E65F3870}" srcId="{46CA5A0C-030A-4265-81BB-C7093E72FB86}" destId="{1ED85BB8-0066-4F25-B9BB-2A2154DE6E89}" srcOrd="0" destOrd="0" parTransId="{04F00488-3AE7-4C9F-B96B-D60FA3359834}" sibTransId="{1961A361-D02C-45AC-9C6F-FD01BC673C6F}"/>
    <dgm:cxn modelId="{66A0146D-B630-4468-90D5-4C7A50083F38}" type="presOf" srcId="{6D952E2A-B34E-4D0B-8B8D-503642EA82BE}" destId="{2A173863-9402-4793-9B73-C8BC19EE7A59}" srcOrd="0" destOrd="0" presId="urn:microsoft.com/office/officeart/2005/8/layout/orgChart1"/>
    <dgm:cxn modelId="{5051F455-9E79-4713-A35D-7E987EE0F7D5}" type="presOf" srcId="{2712A280-E564-4C77-A0AC-1178F654DEA1}" destId="{6DF74D5B-169A-40C0-872C-D26EAEE6988A}" srcOrd="0" destOrd="0" presId="urn:microsoft.com/office/officeart/2005/8/layout/orgChart1"/>
    <dgm:cxn modelId="{7014E69C-4941-4337-98A3-96B182E54136}" type="presOf" srcId="{6D952E2A-B34E-4D0B-8B8D-503642EA82BE}" destId="{1979C7F5-29FA-4D7C-939A-CB3DB4C7CA61}" srcOrd="1" destOrd="0" presId="urn:microsoft.com/office/officeart/2005/8/layout/orgChart1"/>
    <dgm:cxn modelId="{ECA3C968-5A06-46C3-9E2F-E724F05310A5}" type="presOf" srcId="{2712A280-E564-4C77-A0AC-1178F654DEA1}" destId="{FB7D043D-5C30-40B2-8CC7-DAC14855C507}" srcOrd="1" destOrd="0" presId="urn:microsoft.com/office/officeart/2005/8/layout/orgChart1"/>
    <dgm:cxn modelId="{153A6051-B33E-43AC-A635-A6906DAEA594}" type="presOf" srcId="{C4ABFE56-9B19-4A85-8C34-645273A8C0AD}" destId="{CE6CB5CC-909F-4C19-A6C9-24B551C58341}" srcOrd="1" destOrd="0" presId="urn:microsoft.com/office/officeart/2005/8/layout/orgChart1"/>
    <dgm:cxn modelId="{77E4F7AF-B651-4D24-AD23-AC14B48AB076}" type="presOf" srcId="{419660F2-E73D-4FBE-A255-A954411B7A45}" destId="{636B9279-0741-4FB2-BE28-DF32AE5D84A8}" srcOrd="0" destOrd="0" presId="urn:microsoft.com/office/officeart/2005/8/layout/orgChart1"/>
    <dgm:cxn modelId="{36252BE3-996F-484C-AE32-F675E6C4A4E3}" type="presOf" srcId="{17CA6AF9-429B-4E07-9AAE-738E30A0575D}" destId="{15019CA5-84B8-4233-81F1-D2A3D8C64AA9}" srcOrd="0" destOrd="0" presId="urn:microsoft.com/office/officeart/2005/8/layout/orgChart1"/>
    <dgm:cxn modelId="{C3682249-D82A-4E50-B310-F844AABF5CB3}" type="presParOf" srcId="{1BF5387B-792B-4471-8A75-69A5ECB96EFD}" destId="{145FE482-C534-4013-A8D2-B0F02DBAC226}" srcOrd="0" destOrd="0" presId="urn:microsoft.com/office/officeart/2005/8/layout/orgChart1"/>
    <dgm:cxn modelId="{00B21C69-08B4-4492-838F-905E7CAD1F26}" type="presParOf" srcId="{145FE482-C534-4013-A8D2-B0F02DBAC226}" destId="{AE77CD1C-EEBA-4F81-AB86-9890EF57FC23}" srcOrd="0" destOrd="0" presId="urn:microsoft.com/office/officeart/2005/8/layout/orgChart1"/>
    <dgm:cxn modelId="{1A7DE928-90BF-4573-948B-392FFD92DF53}" type="presParOf" srcId="{AE77CD1C-EEBA-4F81-AB86-9890EF57FC23}" destId="{5E10D513-E0BD-4915-A68F-5E92496A0348}" srcOrd="0" destOrd="0" presId="urn:microsoft.com/office/officeart/2005/8/layout/orgChart1"/>
    <dgm:cxn modelId="{3AEF133D-FA48-4EBD-9D02-D9F225F5299D}" type="presParOf" srcId="{AE77CD1C-EEBA-4F81-AB86-9890EF57FC23}" destId="{0DB8BD71-FB35-4C85-83A9-E68CCE891FDB}" srcOrd="1" destOrd="0" presId="urn:microsoft.com/office/officeart/2005/8/layout/orgChart1"/>
    <dgm:cxn modelId="{EE2C142D-8E0F-4A45-A73D-7F4156692C47}" type="presParOf" srcId="{145FE482-C534-4013-A8D2-B0F02DBAC226}" destId="{43B5F476-5D18-46E9-AFB5-FB69A094521B}" srcOrd="1" destOrd="0" presId="urn:microsoft.com/office/officeart/2005/8/layout/orgChart1"/>
    <dgm:cxn modelId="{C39235E2-16D3-4D0C-9D0D-FC340760A0C5}" type="presParOf" srcId="{43B5F476-5D18-46E9-AFB5-FB69A094521B}" destId="{66479346-08E2-49EA-882E-3F605A5C89D6}" srcOrd="0" destOrd="0" presId="urn:microsoft.com/office/officeart/2005/8/layout/orgChart1"/>
    <dgm:cxn modelId="{8FACC990-9A14-44C6-BDA3-57A59F10BD83}" type="presParOf" srcId="{43B5F476-5D18-46E9-AFB5-FB69A094521B}" destId="{388886A8-688E-4DB8-8716-2858F7064FDD}" srcOrd="1" destOrd="0" presId="urn:microsoft.com/office/officeart/2005/8/layout/orgChart1"/>
    <dgm:cxn modelId="{EF9EAF81-0D1F-429F-AC8A-91E8F5E83C38}" type="presParOf" srcId="{388886A8-688E-4DB8-8716-2858F7064FDD}" destId="{750F675F-8073-4A19-8140-930A111276FD}" srcOrd="0" destOrd="0" presId="urn:microsoft.com/office/officeart/2005/8/layout/orgChart1"/>
    <dgm:cxn modelId="{27879A8F-B2D4-41F5-93C1-3A6416798704}" type="presParOf" srcId="{750F675F-8073-4A19-8140-930A111276FD}" destId="{2A173863-9402-4793-9B73-C8BC19EE7A59}" srcOrd="0" destOrd="0" presId="urn:microsoft.com/office/officeart/2005/8/layout/orgChart1"/>
    <dgm:cxn modelId="{9B1C5757-3746-4392-8AF1-9F757C5D5CE8}" type="presParOf" srcId="{750F675F-8073-4A19-8140-930A111276FD}" destId="{1979C7F5-29FA-4D7C-939A-CB3DB4C7CA61}" srcOrd="1" destOrd="0" presId="urn:microsoft.com/office/officeart/2005/8/layout/orgChart1"/>
    <dgm:cxn modelId="{B4F878ED-A22D-46C2-9A83-99D165FE0CAC}" type="presParOf" srcId="{388886A8-688E-4DB8-8716-2858F7064FDD}" destId="{DCBC6EF7-882A-4C38-A6E1-6AFE1FDC289F}" srcOrd="1" destOrd="0" presId="urn:microsoft.com/office/officeart/2005/8/layout/orgChart1"/>
    <dgm:cxn modelId="{95F19C03-97F8-4E78-AB09-C37A89461D61}" type="presParOf" srcId="{388886A8-688E-4DB8-8716-2858F7064FDD}" destId="{35592364-745A-4815-BD4E-0F31DD2D7812}" srcOrd="2" destOrd="0" presId="urn:microsoft.com/office/officeart/2005/8/layout/orgChart1"/>
    <dgm:cxn modelId="{DDEE7A42-5895-42FD-920B-DF5B39F59CB0}" type="presParOf" srcId="{43B5F476-5D18-46E9-AFB5-FB69A094521B}" destId="{636B9279-0741-4FB2-BE28-DF32AE5D84A8}" srcOrd="2" destOrd="0" presId="urn:microsoft.com/office/officeart/2005/8/layout/orgChart1"/>
    <dgm:cxn modelId="{D94EED8D-B832-4E3D-A432-6A0F091C23EF}" type="presParOf" srcId="{43B5F476-5D18-46E9-AFB5-FB69A094521B}" destId="{80F22BD1-3927-4D27-896D-0C63683B58C1}" srcOrd="3" destOrd="0" presId="urn:microsoft.com/office/officeart/2005/8/layout/orgChart1"/>
    <dgm:cxn modelId="{E2B768A0-8B5A-4949-883E-53E53A31AC8E}" type="presParOf" srcId="{80F22BD1-3927-4D27-896D-0C63683B58C1}" destId="{9D604B5E-EFB2-495E-B919-6CE9078E8FB7}" srcOrd="0" destOrd="0" presId="urn:microsoft.com/office/officeart/2005/8/layout/orgChart1"/>
    <dgm:cxn modelId="{8D253BA4-C65C-4ED0-933F-4ACF7BDA389E}" type="presParOf" srcId="{9D604B5E-EFB2-495E-B919-6CE9078E8FB7}" destId="{6D68E4B5-7EBB-4992-AD69-9C532A0DEF72}" srcOrd="0" destOrd="0" presId="urn:microsoft.com/office/officeart/2005/8/layout/orgChart1"/>
    <dgm:cxn modelId="{324A7A0E-8BBE-470F-90EC-0DA46AF08BE5}" type="presParOf" srcId="{9D604B5E-EFB2-495E-B919-6CE9078E8FB7}" destId="{CE6CB5CC-909F-4C19-A6C9-24B551C58341}" srcOrd="1" destOrd="0" presId="urn:microsoft.com/office/officeart/2005/8/layout/orgChart1"/>
    <dgm:cxn modelId="{D4B662FC-20E1-48B6-8999-24E92C225D17}" type="presParOf" srcId="{80F22BD1-3927-4D27-896D-0C63683B58C1}" destId="{2AE13454-7C38-4BBA-BE68-28AADEF04E97}" srcOrd="1" destOrd="0" presId="urn:microsoft.com/office/officeart/2005/8/layout/orgChart1"/>
    <dgm:cxn modelId="{973845E9-E080-46CB-BC6A-FA864ED14D45}" type="presParOf" srcId="{80F22BD1-3927-4D27-896D-0C63683B58C1}" destId="{2C81A7C2-2ECB-4C8A-9C96-5C5932076E07}" srcOrd="2" destOrd="0" presId="urn:microsoft.com/office/officeart/2005/8/layout/orgChart1"/>
    <dgm:cxn modelId="{734829B4-BA22-44B3-9E4B-BF4E511C0758}" type="presParOf" srcId="{43B5F476-5D18-46E9-AFB5-FB69A094521B}" destId="{15019CA5-84B8-4233-81F1-D2A3D8C64AA9}" srcOrd="4" destOrd="0" presId="urn:microsoft.com/office/officeart/2005/8/layout/orgChart1"/>
    <dgm:cxn modelId="{EA571800-AB37-4D68-A9AC-3424E79583EF}" type="presParOf" srcId="{43B5F476-5D18-46E9-AFB5-FB69A094521B}" destId="{0D1C91AF-6B17-4A2F-BF71-6BA92F52D0B8}" srcOrd="5" destOrd="0" presId="urn:microsoft.com/office/officeart/2005/8/layout/orgChart1"/>
    <dgm:cxn modelId="{B9239FF0-F962-45CE-B5F6-285952F094A8}" type="presParOf" srcId="{0D1C91AF-6B17-4A2F-BF71-6BA92F52D0B8}" destId="{9B8FC96E-932E-47CF-93E6-043D9CCADB3D}" srcOrd="0" destOrd="0" presId="urn:microsoft.com/office/officeart/2005/8/layout/orgChart1"/>
    <dgm:cxn modelId="{333CC543-E50F-4DB3-8F17-9B65A5B4F6B5}" type="presParOf" srcId="{9B8FC96E-932E-47CF-93E6-043D9CCADB3D}" destId="{6DF74D5B-169A-40C0-872C-D26EAEE6988A}" srcOrd="0" destOrd="0" presId="urn:microsoft.com/office/officeart/2005/8/layout/orgChart1"/>
    <dgm:cxn modelId="{2212C302-1680-435B-B12C-829194BC04D5}" type="presParOf" srcId="{9B8FC96E-932E-47CF-93E6-043D9CCADB3D}" destId="{FB7D043D-5C30-40B2-8CC7-DAC14855C507}" srcOrd="1" destOrd="0" presId="urn:microsoft.com/office/officeart/2005/8/layout/orgChart1"/>
    <dgm:cxn modelId="{705D2DE7-69A1-42F8-8F8D-475A63DD60F9}" type="presParOf" srcId="{0D1C91AF-6B17-4A2F-BF71-6BA92F52D0B8}" destId="{6E2703D2-56ED-4DEE-8DBB-D7C11605D490}" srcOrd="1" destOrd="0" presId="urn:microsoft.com/office/officeart/2005/8/layout/orgChart1"/>
    <dgm:cxn modelId="{635C4BFA-2975-4841-B329-143B03933E45}" type="presParOf" srcId="{0D1C91AF-6B17-4A2F-BF71-6BA92F52D0B8}" destId="{EB699AA0-0DFB-4D68-A29E-0C1D40A6C9EC}" srcOrd="2" destOrd="0" presId="urn:microsoft.com/office/officeart/2005/8/layout/orgChart1"/>
    <dgm:cxn modelId="{351BFFE9-0B97-4A6D-BD4F-D357128967E7}" type="presParOf" srcId="{145FE482-C534-4013-A8D2-B0F02DBAC226}" destId="{56661B25-F1D3-41C8-B7D6-6D65F5C3CF6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19CA5-84B8-4233-81F1-D2A3D8C64AA9}">
      <dsp:nvSpPr>
        <dsp:cNvPr id="0" name=""/>
        <dsp:cNvSpPr/>
      </dsp:nvSpPr>
      <dsp:spPr>
        <a:xfrm>
          <a:off x="2743200" y="812831"/>
          <a:ext cx="1938808" cy="336487"/>
        </a:xfrm>
        <a:custGeom>
          <a:avLst/>
          <a:gdLst/>
          <a:ahLst/>
          <a:cxnLst/>
          <a:rect l="0" t="0" r="0" b="0"/>
          <a:pathLst>
            <a:path>
              <a:moveTo>
                <a:pt x="0" y="0"/>
              </a:moveTo>
              <a:lnTo>
                <a:pt x="0" y="168243"/>
              </a:lnTo>
              <a:lnTo>
                <a:pt x="1938808" y="168243"/>
              </a:lnTo>
              <a:lnTo>
                <a:pt x="1938808" y="336487"/>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6B9279-0741-4FB2-BE28-DF32AE5D84A8}">
      <dsp:nvSpPr>
        <dsp:cNvPr id="0" name=""/>
        <dsp:cNvSpPr/>
      </dsp:nvSpPr>
      <dsp:spPr>
        <a:xfrm>
          <a:off x="2697480" y="812831"/>
          <a:ext cx="91440" cy="336487"/>
        </a:xfrm>
        <a:custGeom>
          <a:avLst/>
          <a:gdLst/>
          <a:ahLst/>
          <a:cxnLst/>
          <a:rect l="0" t="0" r="0" b="0"/>
          <a:pathLst>
            <a:path>
              <a:moveTo>
                <a:pt x="45720" y="0"/>
              </a:moveTo>
              <a:lnTo>
                <a:pt x="45720" y="336487"/>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479346-08E2-49EA-882E-3F605A5C89D6}">
      <dsp:nvSpPr>
        <dsp:cNvPr id="0" name=""/>
        <dsp:cNvSpPr/>
      </dsp:nvSpPr>
      <dsp:spPr>
        <a:xfrm>
          <a:off x="804391" y="812831"/>
          <a:ext cx="1938808" cy="336487"/>
        </a:xfrm>
        <a:custGeom>
          <a:avLst/>
          <a:gdLst/>
          <a:ahLst/>
          <a:cxnLst/>
          <a:rect l="0" t="0" r="0" b="0"/>
          <a:pathLst>
            <a:path>
              <a:moveTo>
                <a:pt x="1938808" y="0"/>
              </a:moveTo>
              <a:lnTo>
                <a:pt x="1938808" y="168243"/>
              </a:lnTo>
              <a:lnTo>
                <a:pt x="0" y="168243"/>
              </a:lnTo>
              <a:lnTo>
                <a:pt x="0" y="336487"/>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10D513-E0BD-4915-A68F-5E92496A0348}">
      <dsp:nvSpPr>
        <dsp:cNvPr id="0" name=""/>
        <dsp:cNvSpPr/>
      </dsp:nvSpPr>
      <dsp:spPr>
        <a:xfrm>
          <a:off x="2862" y="11670"/>
          <a:ext cx="5480674" cy="801160"/>
        </a:xfrm>
        <a:prstGeom prst="roundRect">
          <a:avLst/>
        </a:prstGeom>
        <a:solidFill>
          <a:schemeClr val="accent6">
            <a:lumMod val="60000"/>
            <a:lumOff val="40000"/>
            <a:alpha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b-NO" sz="1500" kern="1200">
              <a:latin typeface="+mj-lt"/>
              <a:cs typeface="Times New Roman" panose="02020603050405020304" pitchFamily="18" charset="0"/>
            </a:rPr>
            <a:t>Retail groups</a:t>
          </a:r>
        </a:p>
        <a:p>
          <a:pPr lvl="0" algn="ctr" defTabSz="666750">
            <a:lnSpc>
              <a:spcPct val="90000"/>
            </a:lnSpc>
            <a:spcBef>
              <a:spcPct val="0"/>
            </a:spcBef>
            <a:spcAft>
              <a:spcPct val="35000"/>
            </a:spcAft>
          </a:pPr>
          <a:r>
            <a:rPr lang="nb-NO" sz="1500" kern="1200">
              <a:latin typeface="+mj-lt"/>
              <a:cs typeface="Times New Roman" panose="02020603050405020304" pitchFamily="18" charset="0"/>
            </a:rPr>
            <a:t>(mainly </a:t>
          </a:r>
          <a:r>
            <a:rPr lang="nb-NO" sz="1500" i="1" kern="1200">
              <a:latin typeface="+mj-lt"/>
              <a:cs typeface="Times New Roman" panose="02020603050405020304" pitchFamily="18" charset="0"/>
            </a:rPr>
            <a:t>Rema</a:t>
          </a:r>
          <a:r>
            <a:rPr lang="nb-NO" sz="1500" kern="1200">
              <a:latin typeface="+mj-lt"/>
              <a:cs typeface="Times New Roman" panose="02020603050405020304" pitchFamily="18" charset="0"/>
            </a:rPr>
            <a:t>, </a:t>
          </a:r>
          <a:r>
            <a:rPr lang="nb-NO" sz="1500" i="1" kern="1200">
              <a:latin typeface="+mj-lt"/>
              <a:cs typeface="Times New Roman" panose="02020603050405020304" pitchFamily="18" charset="0"/>
            </a:rPr>
            <a:t>Coop</a:t>
          </a:r>
          <a:r>
            <a:rPr lang="nb-NO" sz="1500" kern="1200">
              <a:latin typeface="+mj-lt"/>
              <a:cs typeface="Times New Roman" panose="02020603050405020304" pitchFamily="18" charset="0"/>
            </a:rPr>
            <a:t>, </a:t>
          </a:r>
          <a:r>
            <a:rPr lang="nb-NO" sz="1500" i="1" kern="1200">
              <a:latin typeface="+mj-lt"/>
              <a:cs typeface="Times New Roman" panose="02020603050405020304" pitchFamily="18" charset="0"/>
            </a:rPr>
            <a:t>NorgesGruppen</a:t>
          </a:r>
          <a:r>
            <a:rPr lang="nb-NO" sz="1500" kern="1200">
              <a:latin typeface="+mj-lt"/>
              <a:cs typeface="Times New Roman" panose="02020603050405020304" pitchFamily="18" charset="0"/>
            </a:rPr>
            <a:t>)</a:t>
          </a:r>
        </a:p>
      </dsp:txBody>
      <dsp:txXfrm>
        <a:off x="41971" y="50779"/>
        <a:ext cx="5402456" cy="722942"/>
      </dsp:txXfrm>
    </dsp:sp>
    <dsp:sp modelId="{2A173863-9402-4793-9B73-C8BC19EE7A59}">
      <dsp:nvSpPr>
        <dsp:cNvPr id="0" name=""/>
        <dsp:cNvSpPr/>
      </dsp:nvSpPr>
      <dsp:spPr>
        <a:xfrm>
          <a:off x="3231" y="1149318"/>
          <a:ext cx="1602320" cy="801160"/>
        </a:xfrm>
        <a:prstGeom prst="roundRect">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b-NO" sz="1500" kern="1200"/>
            <a:t>Production &amp; processing</a:t>
          </a:r>
        </a:p>
      </dsp:txBody>
      <dsp:txXfrm>
        <a:off x="42340" y="1188427"/>
        <a:ext cx="1524102" cy="722942"/>
      </dsp:txXfrm>
    </dsp:sp>
    <dsp:sp modelId="{6D68E4B5-7EBB-4992-AD69-9C532A0DEF72}">
      <dsp:nvSpPr>
        <dsp:cNvPr id="0" name=""/>
        <dsp:cNvSpPr/>
      </dsp:nvSpPr>
      <dsp:spPr>
        <a:xfrm>
          <a:off x="1942039" y="1149318"/>
          <a:ext cx="1602320" cy="801160"/>
        </a:xfrm>
        <a:prstGeom prst="roundRect">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b-NO" sz="1500" kern="1200"/>
            <a:t>Wholesale</a:t>
          </a:r>
        </a:p>
      </dsp:txBody>
      <dsp:txXfrm>
        <a:off x="1981148" y="1188427"/>
        <a:ext cx="1524102" cy="722942"/>
      </dsp:txXfrm>
    </dsp:sp>
    <dsp:sp modelId="{6DF74D5B-169A-40C0-872C-D26EAEE6988A}">
      <dsp:nvSpPr>
        <dsp:cNvPr id="0" name=""/>
        <dsp:cNvSpPr/>
      </dsp:nvSpPr>
      <dsp:spPr>
        <a:xfrm>
          <a:off x="3880847" y="1149318"/>
          <a:ext cx="1602320" cy="801160"/>
        </a:xfrm>
        <a:prstGeom prst="roundRect">
          <a:avLst/>
        </a:prstGeom>
        <a:solidFill>
          <a:schemeClr val="accent6">
            <a:alpha val="7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b-NO" sz="1500" kern="1200"/>
            <a:t>Retail chains (stores)</a:t>
          </a:r>
        </a:p>
      </dsp:txBody>
      <dsp:txXfrm>
        <a:off x="3919956" y="1188427"/>
        <a:ext cx="1524102" cy="7229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8083-CDA1-461A-80A3-67353212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2669</TotalTime>
  <Pages>12</Pages>
  <Words>4833</Words>
  <Characters>27552</Characters>
  <Application>Microsoft Office Word</Application>
  <DocSecurity>0</DocSecurity>
  <Lines>229</Lines>
  <Paragraphs>64</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Kamilla Knutsen Steinnes</dc:creator>
  <cp:keywords/>
  <dc:description/>
  <cp:lastModifiedBy>Kamilla Knutsen Steinnes</cp:lastModifiedBy>
  <cp:revision>27</cp:revision>
  <dcterms:created xsi:type="dcterms:W3CDTF">2018-12-21T08:27:00Z</dcterms:created>
  <dcterms:modified xsi:type="dcterms:W3CDTF">2018-12-21T11:21:00Z</dcterms:modified>
</cp:coreProperties>
</file>